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76EB" w:rsidRPr="00C9542C" w:rsidRDefault="005076EB" w:rsidP="005076EB">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7549CFCE" wp14:editId="2BB60261">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240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0086167D" wp14:editId="33196552">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89A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7050BF32" wp14:editId="64C3E6A6">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8A8B"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5076EB" w:rsidRPr="00C9542C" w:rsidRDefault="005076EB" w:rsidP="005076EB">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4A744BBD" wp14:editId="6A8A7EE7">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E6C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5076EB" w:rsidRPr="00C9542C" w:rsidRDefault="005076EB" w:rsidP="005076EB">
      <w:pPr>
        <w:spacing w:after="200" w:line="276" w:lineRule="auto"/>
        <w:jc w:val="right"/>
        <w:rPr>
          <w:rFonts w:ascii="Times New Roman" w:eastAsia="Calibri" w:hAnsi="Times New Roman" w:cs="Times New Roman"/>
          <w:b/>
          <w:color w:val="0070C0"/>
          <w:sz w:val="24"/>
          <w:szCs w:val="24"/>
          <w:lang w:val="fr-FR"/>
        </w:rPr>
      </w:pPr>
    </w:p>
    <w:p w:rsidR="005076EB" w:rsidRPr="00C9542C" w:rsidRDefault="005076EB" w:rsidP="005076EB">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5076EB" w:rsidRPr="00C9542C" w:rsidRDefault="005076EB" w:rsidP="005076EB">
      <w:pPr>
        <w:spacing w:after="0" w:line="276" w:lineRule="auto"/>
        <w:rPr>
          <w:rFonts w:ascii="Calibri" w:eastAsia="Calibri" w:hAnsi="Calibri" w:cs="Times New Roman"/>
          <w:sz w:val="16"/>
          <w:szCs w:val="16"/>
          <w:lang w:val="fr-FR" w:eastAsia="fr-FR"/>
        </w:rPr>
      </w:pPr>
    </w:p>
    <w:p w:rsidR="005076EB" w:rsidRPr="00C9542C" w:rsidRDefault="005076EB" w:rsidP="005076EB">
      <w:pPr>
        <w:spacing w:after="0" w:line="276" w:lineRule="auto"/>
        <w:rPr>
          <w:rFonts w:ascii="Calibri" w:eastAsia="Calibri" w:hAnsi="Calibri" w:cs="Times New Roman"/>
          <w:sz w:val="16"/>
          <w:szCs w:val="16"/>
          <w:lang w:val="fr-FR" w:eastAsia="fr-FR"/>
        </w:rPr>
      </w:pPr>
    </w:p>
    <w:p w:rsidR="005076EB" w:rsidRDefault="005076EB" w:rsidP="005076EB">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C9542C">
        <w:rPr>
          <w:rFonts w:ascii="Baskerville Old Face" w:eastAsia="Calibri" w:hAnsi="Baskerville Old Face" w:cs="Times New Roman"/>
          <w:smallCaps/>
          <w:color w:val="333399"/>
          <w:sz w:val="48"/>
          <w:szCs w:val="40"/>
        </w:rPr>
        <w:t xml:space="preserve">InfoRup </w:t>
      </w:r>
    </w:p>
    <w:p w:rsidR="005076EB" w:rsidRPr="006768B3" w:rsidRDefault="005076EB" w:rsidP="005076EB">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Pr>
          <w:rFonts w:ascii="Baskerville Old Face" w:hAnsi="Baskerville Old Face"/>
          <w:b/>
          <w:color w:val="5B9BD5" w:themeColor="accent1"/>
          <w:sz w:val="36"/>
          <w:szCs w:val="36"/>
        </w:rPr>
        <w:t>1er</w:t>
      </w:r>
      <w:r w:rsidRPr="006768B3">
        <w:rPr>
          <w:rFonts w:ascii="Baskerville Old Face" w:hAnsi="Baskerville Old Face"/>
          <w:b/>
          <w:color w:val="5B9BD5" w:themeColor="accent1"/>
          <w:sz w:val="36"/>
          <w:szCs w:val="36"/>
        </w:rPr>
        <w:t xml:space="preserve"> au </w:t>
      </w:r>
      <w:r>
        <w:rPr>
          <w:rFonts w:ascii="Baskerville Old Face" w:hAnsi="Baskerville Old Face"/>
          <w:b/>
          <w:color w:val="5B9BD5" w:themeColor="accent1"/>
          <w:sz w:val="36"/>
          <w:szCs w:val="36"/>
        </w:rPr>
        <w:t>05 février 2016</w:t>
      </w:r>
    </w:p>
    <w:p w:rsidR="005076EB" w:rsidRDefault="005076EB" w:rsidP="005076EB">
      <w:pPr>
        <w:spacing w:after="0"/>
        <w:jc w:val="both"/>
      </w:pPr>
    </w:p>
    <w:p w:rsidR="00DB1443" w:rsidRDefault="00DB1443" w:rsidP="00C3530D">
      <w:pPr>
        <w:jc w:val="both"/>
        <w:rPr>
          <w:rFonts w:ascii="Times New Roman" w:hAnsi="Times New Roman" w:cs="Times New Roman"/>
          <w:b/>
          <w:color w:val="5B9BD5"/>
          <w:sz w:val="24"/>
          <w:szCs w:val="24"/>
        </w:rPr>
      </w:pPr>
    </w:p>
    <w:p w:rsidR="00C3530D" w:rsidRDefault="00C3530D" w:rsidP="00C3530D">
      <w:pPr>
        <w:jc w:val="both"/>
        <w:rPr>
          <w:rFonts w:ascii="Times New Roman" w:hAnsi="Times New Roman" w:cs="Times New Roman"/>
          <w:color w:val="000000" w:themeColor="text1"/>
          <w:sz w:val="24"/>
          <w:szCs w:val="24"/>
        </w:rPr>
      </w:pPr>
      <w:r w:rsidRPr="008C3874">
        <w:rPr>
          <w:rFonts w:ascii="Times New Roman" w:hAnsi="Times New Roman" w:cs="Times New Roman"/>
          <w:b/>
          <w:color w:val="5B9BD5"/>
          <w:sz w:val="24"/>
          <w:szCs w:val="24"/>
        </w:rPr>
        <w:t>PUBLICATION DE APPELS A PROPOSITIONS 2016 SUR LES PROGRAMMES DE PROMOTION</w:t>
      </w:r>
      <w:r>
        <w:rPr>
          <w:rFonts w:ascii="Times New Roman" w:hAnsi="Times New Roman" w:cs="Times New Roman"/>
          <w:b/>
          <w:color w:val="5B9BD5" w:themeColor="accent1"/>
          <w:sz w:val="24"/>
          <w:szCs w:val="24"/>
        </w:rPr>
        <w:t xml:space="preserve"> DES PRODUITS AGRICOLES DE L’UE</w:t>
      </w:r>
      <w:r w:rsidR="005076EB">
        <w:rPr>
          <w:rFonts w:ascii="Times New Roman" w:hAnsi="Times New Roman" w:cs="Times New Roman"/>
          <w:b/>
          <w:color w:val="5B9BD5" w:themeColor="accent1"/>
          <w:sz w:val="24"/>
          <w:szCs w:val="24"/>
        </w:rPr>
        <w:t xml:space="preserve"> : </w:t>
      </w:r>
      <w:r w:rsidRPr="00F903E0">
        <w:rPr>
          <w:rFonts w:ascii="Times New Roman" w:hAnsi="Times New Roman" w:cs="Times New Roman"/>
          <w:color w:val="000000" w:themeColor="text1"/>
          <w:sz w:val="24"/>
          <w:szCs w:val="24"/>
        </w:rPr>
        <w:t xml:space="preserve">La Commission européenne a publié, le jeudi 4 février dernier, les premiers appels à propositions sur les programmes de promotion des produits agricoles de l'Union européenne. Pour rappel, de nouvelles règles européennes de promotion sont entrées en vigueur en décembre 2015. Il y a </w:t>
      </w:r>
      <w:r w:rsidR="000E683E">
        <w:rPr>
          <w:rFonts w:ascii="Times New Roman" w:hAnsi="Times New Roman" w:cs="Times New Roman"/>
          <w:color w:val="000000" w:themeColor="text1"/>
          <w:sz w:val="24"/>
          <w:szCs w:val="24"/>
        </w:rPr>
        <w:t>deux</w:t>
      </w:r>
      <w:r w:rsidR="000E683E" w:rsidRPr="00F903E0">
        <w:rPr>
          <w:rFonts w:ascii="Times New Roman" w:hAnsi="Times New Roman" w:cs="Times New Roman"/>
          <w:color w:val="000000" w:themeColor="text1"/>
          <w:sz w:val="24"/>
          <w:szCs w:val="24"/>
        </w:rPr>
        <w:t xml:space="preserve"> </w:t>
      </w:r>
      <w:r w:rsidRPr="00F903E0">
        <w:rPr>
          <w:rFonts w:ascii="Times New Roman" w:hAnsi="Times New Roman" w:cs="Times New Roman"/>
          <w:color w:val="000000" w:themeColor="text1"/>
          <w:sz w:val="24"/>
          <w:szCs w:val="24"/>
        </w:rPr>
        <w:t>appel</w:t>
      </w:r>
      <w:r w:rsidR="000E683E">
        <w:rPr>
          <w:rFonts w:ascii="Times New Roman" w:hAnsi="Times New Roman" w:cs="Times New Roman"/>
          <w:color w:val="000000" w:themeColor="text1"/>
          <w:sz w:val="24"/>
          <w:szCs w:val="24"/>
        </w:rPr>
        <w:t>s</w:t>
      </w:r>
      <w:r w:rsidRPr="00F903E0">
        <w:rPr>
          <w:rFonts w:ascii="Times New Roman" w:hAnsi="Times New Roman" w:cs="Times New Roman"/>
          <w:color w:val="000000" w:themeColor="text1"/>
          <w:sz w:val="24"/>
          <w:szCs w:val="24"/>
        </w:rPr>
        <w:t xml:space="preserve"> à propositions</w:t>
      </w:r>
      <w:r w:rsidR="000E683E">
        <w:rPr>
          <w:rFonts w:ascii="Times New Roman" w:hAnsi="Times New Roman" w:cs="Times New Roman"/>
          <w:color w:val="000000" w:themeColor="text1"/>
          <w:sz w:val="24"/>
          <w:szCs w:val="24"/>
        </w:rPr>
        <w:t xml:space="preserve"> : un </w:t>
      </w:r>
      <w:r w:rsidRPr="00F903E0">
        <w:rPr>
          <w:rFonts w:ascii="Times New Roman" w:hAnsi="Times New Roman" w:cs="Times New Roman"/>
          <w:color w:val="000000" w:themeColor="text1"/>
          <w:sz w:val="24"/>
          <w:szCs w:val="24"/>
        </w:rPr>
        <w:t>pour les programmes simples</w:t>
      </w:r>
      <w:r w:rsidR="000E683E">
        <w:rPr>
          <w:rFonts w:ascii="Times New Roman" w:hAnsi="Times New Roman" w:cs="Times New Roman"/>
          <w:color w:val="000000" w:themeColor="text1"/>
          <w:sz w:val="24"/>
          <w:szCs w:val="24"/>
        </w:rPr>
        <w:t xml:space="preserve">, c'est-à-dire portés par </w:t>
      </w:r>
      <w:r w:rsidRPr="00F903E0">
        <w:rPr>
          <w:rFonts w:ascii="Times New Roman" w:hAnsi="Times New Roman" w:cs="Times New Roman"/>
          <w:color w:val="000000" w:themeColor="text1"/>
          <w:sz w:val="24"/>
          <w:szCs w:val="24"/>
        </w:rPr>
        <w:t xml:space="preserve">un ou plusieurs organismes émanant d’un seul Etat membre et un autre pour les programmes multi </w:t>
      </w:r>
      <w:r w:rsidR="000E683E">
        <w:rPr>
          <w:rFonts w:ascii="Times New Roman" w:hAnsi="Times New Roman" w:cs="Times New Roman"/>
          <w:color w:val="000000" w:themeColor="text1"/>
          <w:sz w:val="24"/>
          <w:szCs w:val="24"/>
        </w:rPr>
        <w:t xml:space="preserve">portés par </w:t>
      </w:r>
      <w:r w:rsidRPr="00F903E0">
        <w:rPr>
          <w:rFonts w:ascii="Times New Roman" w:hAnsi="Times New Roman" w:cs="Times New Roman"/>
          <w:color w:val="000000" w:themeColor="text1"/>
          <w:sz w:val="24"/>
          <w:szCs w:val="24"/>
        </w:rPr>
        <w:t xml:space="preserve">un ou plusieurs organismes émanant d’au moins 2 Etats membres. C’est au total 111,3 millions d'euros du budget </w:t>
      </w:r>
      <w:r w:rsidR="000E683E">
        <w:rPr>
          <w:rFonts w:ascii="Times New Roman" w:hAnsi="Times New Roman" w:cs="Times New Roman"/>
          <w:color w:val="000000" w:themeColor="text1"/>
          <w:sz w:val="24"/>
          <w:szCs w:val="24"/>
        </w:rPr>
        <w:t xml:space="preserve">communautaire </w:t>
      </w:r>
      <w:r w:rsidRPr="00F903E0">
        <w:rPr>
          <w:rFonts w:ascii="Times New Roman" w:hAnsi="Times New Roman" w:cs="Times New Roman"/>
          <w:color w:val="000000" w:themeColor="text1"/>
          <w:sz w:val="24"/>
          <w:szCs w:val="24"/>
        </w:rPr>
        <w:t>qui sont dédiés à ces campagnes de promotion pour l'année 2016. Ce</w:t>
      </w:r>
      <w:r w:rsidR="000E683E">
        <w:rPr>
          <w:rFonts w:ascii="Times New Roman" w:hAnsi="Times New Roman" w:cs="Times New Roman"/>
          <w:color w:val="000000" w:themeColor="text1"/>
          <w:sz w:val="24"/>
          <w:szCs w:val="24"/>
        </w:rPr>
        <w:t xml:space="preserve">tte enveloppe </w:t>
      </w:r>
      <w:r w:rsidRPr="00F903E0">
        <w:rPr>
          <w:rFonts w:ascii="Times New Roman" w:hAnsi="Times New Roman" w:cs="Times New Roman"/>
          <w:color w:val="000000" w:themeColor="text1"/>
          <w:sz w:val="24"/>
          <w:szCs w:val="24"/>
        </w:rPr>
        <w:t xml:space="preserve">servira à cofinancer des projets pluriannuels destinés à aider les producteurs européens à promouvoir la consommation des produits agricoles européens à l'extérieur et à l'intérieur de l'Union européenne, ainsi que </w:t>
      </w:r>
      <w:r w:rsidR="000E683E">
        <w:rPr>
          <w:rFonts w:ascii="Times New Roman" w:hAnsi="Times New Roman" w:cs="Times New Roman"/>
          <w:color w:val="000000" w:themeColor="text1"/>
          <w:sz w:val="24"/>
          <w:szCs w:val="24"/>
        </w:rPr>
        <w:t xml:space="preserve">faire mieux connaître auprès des consommateurs </w:t>
      </w:r>
      <w:r w:rsidRPr="00F903E0">
        <w:rPr>
          <w:rFonts w:ascii="Times New Roman" w:hAnsi="Times New Roman" w:cs="Times New Roman"/>
          <w:color w:val="000000" w:themeColor="text1"/>
          <w:sz w:val="24"/>
          <w:szCs w:val="24"/>
        </w:rPr>
        <w:t>les systèmes de qualité (dont le logo RUP). Les propositions de projets peuvent être envoyées directement à la Commission d'ici le 28 avril 2016</w:t>
      </w:r>
      <w:r w:rsidR="000E683E">
        <w:rPr>
          <w:rFonts w:ascii="Times New Roman" w:hAnsi="Times New Roman" w:cs="Times New Roman"/>
          <w:color w:val="000000" w:themeColor="text1"/>
          <w:sz w:val="24"/>
          <w:szCs w:val="24"/>
        </w:rPr>
        <w:t xml:space="preserve"> via internet</w:t>
      </w:r>
      <w:r w:rsidRPr="00F903E0">
        <w:rPr>
          <w:rFonts w:ascii="Times New Roman" w:hAnsi="Times New Roman" w:cs="Times New Roman"/>
          <w:color w:val="000000" w:themeColor="text1"/>
          <w:sz w:val="24"/>
          <w:szCs w:val="24"/>
        </w:rPr>
        <w:t>. Une session d'information sur les appels à propositions pour 2016 sera organisée par la Commission européenne le 26 février prochain</w:t>
      </w:r>
      <w:r w:rsidR="000E683E">
        <w:rPr>
          <w:rFonts w:ascii="Times New Roman" w:hAnsi="Times New Roman" w:cs="Times New Roman"/>
          <w:color w:val="000000" w:themeColor="text1"/>
          <w:sz w:val="24"/>
          <w:szCs w:val="24"/>
        </w:rPr>
        <w:t xml:space="preserve"> à laquelle Eurodom assistera</w:t>
      </w:r>
      <w:r w:rsidRPr="00F903E0">
        <w:rPr>
          <w:rFonts w:ascii="Times New Roman" w:hAnsi="Times New Roman" w:cs="Times New Roman"/>
          <w:color w:val="000000" w:themeColor="text1"/>
          <w:sz w:val="24"/>
          <w:szCs w:val="24"/>
        </w:rPr>
        <w:t xml:space="preserve">. </w:t>
      </w:r>
      <w:r w:rsidR="000E683E">
        <w:rPr>
          <w:rFonts w:ascii="Times New Roman" w:hAnsi="Times New Roman" w:cs="Times New Roman"/>
          <w:color w:val="000000" w:themeColor="text1"/>
          <w:sz w:val="24"/>
          <w:szCs w:val="24"/>
        </w:rPr>
        <w:t xml:space="preserve">Par ailleurs, afin de </w:t>
      </w:r>
      <w:r w:rsidRPr="00F903E0">
        <w:rPr>
          <w:rFonts w:ascii="Times New Roman" w:hAnsi="Times New Roman" w:cs="Times New Roman"/>
          <w:color w:val="000000" w:themeColor="text1"/>
          <w:sz w:val="24"/>
          <w:szCs w:val="24"/>
        </w:rPr>
        <w:t xml:space="preserve">promouvoir les produits européens, </w:t>
      </w:r>
      <w:r w:rsidR="000E683E">
        <w:rPr>
          <w:rFonts w:ascii="Times New Roman" w:hAnsi="Times New Roman" w:cs="Times New Roman"/>
          <w:color w:val="000000" w:themeColor="text1"/>
          <w:sz w:val="24"/>
          <w:szCs w:val="24"/>
        </w:rPr>
        <w:t xml:space="preserve">le Commissaire à l’Agriculture, Phil HOGAN </w:t>
      </w:r>
      <w:r w:rsidRPr="00F903E0">
        <w:rPr>
          <w:rFonts w:ascii="Times New Roman" w:hAnsi="Times New Roman" w:cs="Times New Roman"/>
          <w:color w:val="000000" w:themeColor="text1"/>
          <w:sz w:val="24"/>
          <w:szCs w:val="24"/>
        </w:rPr>
        <w:t>va effectuer une série de visites dans les pays tiers</w:t>
      </w:r>
      <w:r w:rsidR="000E683E">
        <w:rPr>
          <w:rFonts w:ascii="Times New Roman" w:hAnsi="Times New Roman" w:cs="Times New Roman"/>
          <w:color w:val="000000" w:themeColor="text1"/>
          <w:sz w:val="24"/>
          <w:szCs w:val="24"/>
        </w:rPr>
        <w:t xml:space="preserve"> : </w:t>
      </w:r>
      <w:r w:rsidRPr="00F903E0">
        <w:rPr>
          <w:rFonts w:ascii="Times New Roman" w:hAnsi="Times New Roman" w:cs="Times New Roman"/>
          <w:color w:val="000000" w:themeColor="text1"/>
          <w:sz w:val="24"/>
          <w:szCs w:val="24"/>
        </w:rPr>
        <w:t>il sera en Colombie et au Mexique, accompagné d'une délégation de producteurs européens</w:t>
      </w:r>
      <w:r w:rsidR="000E683E">
        <w:rPr>
          <w:rFonts w:ascii="Times New Roman" w:hAnsi="Times New Roman" w:cs="Times New Roman"/>
          <w:color w:val="000000" w:themeColor="text1"/>
          <w:sz w:val="24"/>
          <w:szCs w:val="24"/>
        </w:rPr>
        <w:t xml:space="preserve"> dès la semaine prochaine</w:t>
      </w:r>
      <w:r w:rsidRPr="00F903E0">
        <w:rPr>
          <w:rFonts w:ascii="Times New Roman" w:hAnsi="Times New Roman" w:cs="Times New Roman"/>
          <w:color w:val="000000" w:themeColor="text1"/>
          <w:sz w:val="24"/>
          <w:szCs w:val="24"/>
        </w:rPr>
        <w:t xml:space="preserve">. </w:t>
      </w:r>
    </w:p>
    <w:p w:rsidR="008C3874" w:rsidRDefault="008C3874" w:rsidP="00C3530D">
      <w:pPr>
        <w:jc w:val="both"/>
        <w:rPr>
          <w:rFonts w:ascii="Times New Roman" w:hAnsi="Times New Roman" w:cs="Times New Roman"/>
          <w:color w:val="000000" w:themeColor="text1"/>
          <w:sz w:val="24"/>
          <w:szCs w:val="24"/>
        </w:rPr>
      </w:pPr>
    </w:p>
    <w:p w:rsidR="008C3874" w:rsidRPr="008C3874" w:rsidRDefault="008C3874" w:rsidP="008C3874">
      <w:pPr>
        <w:jc w:val="both"/>
        <w:rPr>
          <w:rFonts w:ascii="Times New Roman" w:hAnsi="Times New Roman" w:cs="Times New Roman"/>
          <w:b/>
          <w:color w:val="5B9BD5"/>
          <w:sz w:val="24"/>
          <w:szCs w:val="24"/>
        </w:rPr>
      </w:pPr>
      <w:r w:rsidRPr="008C3874">
        <w:rPr>
          <w:rFonts w:ascii="Times New Roman" w:hAnsi="Times New Roman" w:cs="Times New Roman"/>
          <w:b/>
          <w:color w:val="5B9BD5"/>
          <w:sz w:val="24"/>
          <w:szCs w:val="24"/>
        </w:rPr>
        <w:t>PUBLICATION DU TEXTE DE L’ACCORD DE LIBRE-ECHANGE UE-VIETNAM</w:t>
      </w:r>
      <w:r>
        <w:rPr>
          <w:rFonts w:ascii="Times New Roman" w:hAnsi="Times New Roman" w:cs="Times New Roman"/>
          <w:b/>
          <w:color w:val="5B9BD5"/>
          <w:sz w:val="24"/>
          <w:szCs w:val="24"/>
        </w:rPr>
        <w:t xml:space="preserve"> : </w:t>
      </w:r>
      <w:r w:rsidRPr="008C3874">
        <w:rPr>
          <w:rFonts w:ascii="Times New Roman" w:hAnsi="Times New Roman" w:cs="Times New Roman"/>
          <w:color w:val="000000" w:themeColor="text1"/>
          <w:sz w:val="24"/>
          <w:szCs w:val="24"/>
        </w:rPr>
        <w:t xml:space="preserve">La Commission a publié, lundi 1er février, le texte intégral de l'accord de libre-échange entre l'UE et le Vietnam officiellement conclu début décembre 2015 après qu'un accord de principe ait été marqué en août dernier. Comme dans la procédure habituelle, ce texte doit désormais faire l'objet d'un examen juridique afin de vérifier sa cohérence et de s'assurer que toutes les dispositions sont solidement formulées sur le plan juridique. Il sera ensuite traduit dans toutes les langues de l'UE avant d'être présenté pour ratification au Conseil et au Parlement européen. Premier accord du genre conclu par l'UE avec un pays en développement, il couvre le commerce des biens et services, l'investissement, les marchés publics, la propriété intellectuelle (incluant </w:t>
      </w:r>
      <w:r w:rsidRPr="008C3874">
        <w:rPr>
          <w:rFonts w:ascii="Times New Roman" w:hAnsi="Times New Roman" w:cs="Times New Roman"/>
          <w:color w:val="000000" w:themeColor="text1"/>
          <w:sz w:val="24"/>
          <w:szCs w:val="24"/>
        </w:rPr>
        <w:lastRenderedPageBreak/>
        <w:t xml:space="preserve">les indications géographiques), les barrières non tarifaires, les questions sanitaires et phytosanitaires, les obstacles techniques au commerce, la coopération douanière et la facilitation des échanges. </w:t>
      </w:r>
      <w:r w:rsidR="002C06F6">
        <w:rPr>
          <w:rFonts w:ascii="Times New Roman" w:hAnsi="Times New Roman" w:cs="Times New Roman"/>
          <w:color w:val="000000" w:themeColor="text1"/>
          <w:sz w:val="24"/>
          <w:szCs w:val="24"/>
        </w:rPr>
        <w:t xml:space="preserve">S’agissant des sucres spéciaux, un sous-contingent de 400 tonnes a été instauré pour la seule ligne tarifaire </w:t>
      </w:r>
      <w:r w:rsidR="002C06F6" w:rsidRPr="002C06F6">
        <w:rPr>
          <w:rFonts w:ascii="Times New Roman" w:hAnsi="Times New Roman" w:cs="Times New Roman"/>
          <w:color w:val="000000" w:themeColor="text1"/>
          <w:sz w:val="24"/>
          <w:szCs w:val="24"/>
        </w:rPr>
        <w:t>17</w:t>
      </w:r>
      <w:r w:rsidR="002C06F6">
        <w:rPr>
          <w:rFonts w:ascii="Times New Roman" w:hAnsi="Times New Roman" w:cs="Times New Roman"/>
          <w:color w:val="000000" w:themeColor="text1"/>
          <w:sz w:val="24"/>
          <w:szCs w:val="24"/>
        </w:rPr>
        <w:t xml:space="preserve"> 01 14 90, correspondant à une variété de sucres spéciaux</w:t>
      </w:r>
      <w:r w:rsidRPr="008C3874">
        <w:rPr>
          <w:rFonts w:ascii="Times New Roman" w:hAnsi="Times New Roman" w:cs="Times New Roman"/>
          <w:sz w:val="24"/>
          <w:szCs w:val="24"/>
        </w:rPr>
        <w:t>. Au-delà de cette limite, le droit de douane</w:t>
      </w:r>
      <w:r w:rsidR="000E683E">
        <w:rPr>
          <w:rFonts w:ascii="Times New Roman" w:hAnsi="Times New Roman" w:cs="Times New Roman"/>
          <w:sz w:val="24"/>
          <w:szCs w:val="24"/>
        </w:rPr>
        <w:t xml:space="preserve"> applicable</w:t>
      </w:r>
      <w:r w:rsidRPr="008C3874">
        <w:rPr>
          <w:rFonts w:ascii="Times New Roman" w:hAnsi="Times New Roman" w:cs="Times New Roman"/>
          <w:sz w:val="24"/>
          <w:szCs w:val="24"/>
        </w:rPr>
        <w:t xml:space="preserve"> sera de 419 euros par tonne. Cette taxe doit permettre au sucre réunionnais</w:t>
      </w:r>
      <w:r w:rsidR="002C06F6">
        <w:rPr>
          <w:rFonts w:ascii="Times New Roman" w:hAnsi="Times New Roman" w:cs="Times New Roman"/>
          <w:sz w:val="24"/>
          <w:szCs w:val="24"/>
        </w:rPr>
        <w:t xml:space="preserve"> </w:t>
      </w:r>
      <w:r w:rsidRPr="008C3874">
        <w:rPr>
          <w:rFonts w:ascii="Times New Roman" w:hAnsi="Times New Roman" w:cs="Times New Roman"/>
          <w:sz w:val="24"/>
          <w:szCs w:val="24"/>
        </w:rPr>
        <w:t>de rester compétitif sur ce secteur.</w:t>
      </w:r>
      <w:r w:rsidRPr="008C3874">
        <w:rPr>
          <w:rFonts w:ascii="Times New Roman" w:hAnsi="Times New Roman" w:cs="Times New Roman"/>
          <w:color w:val="000000" w:themeColor="text1"/>
          <w:sz w:val="24"/>
          <w:szCs w:val="24"/>
        </w:rPr>
        <w:t xml:space="preserve"> </w:t>
      </w:r>
    </w:p>
    <w:p w:rsidR="008C3874" w:rsidRDefault="008C3874" w:rsidP="00C3530D">
      <w:pPr>
        <w:jc w:val="both"/>
        <w:rPr>
          <w:color w:val="000000" w:themeColor="text1"/>
        </w:rPr>
      </w:pPr>
    </w:p>
    <w:p w:rsidR="00977104" w:rsidRPr="00977104" w:rsidRDefault="00977104" w:rsidP="00977104">
      <w:pPr>
        <w:jc w:val="both"/>
        <w:rPr>
          <w:rFonts w:ascii="Times New Roman" w:hAnsi="Times New Roman" w:cs="Times New Roman"/>
          <w:b/>
          <w:color w:val="5B9BD5"/>
          <w:sz w:val="24"/>
          <w:szCs w:val="24"/>
        </w:rPr>
      </w:pPr>
      <w:r w:rsidRPr="00977104">
        <w:rPr>
          <w:rFonts w:ascii="Times New Roman" w:hAnsi="Times New Roman" w:cs="Times New Roman"/>
          <w:b/>
          <w:color w:val="5B9BD5"/>
          <w:sz w:val="24"/>
          <w:szCs w:val="24"/>
        </w:rPr>
        <w:t xml:space="preserve">CECILA MALMSTROM </w:t>
      </w:r>
      <w:r w:rsidR="002C06F6">
        <w:rPr>
          <w:rFonts w:ascii="Times New Roman" w:hAnsi="Times New Roman" w:cs="Times New Roman"/>
          <w:b/>
          <w:color w:val="5B9BD5"/>
          <w:sz w:val="24"/>
          <w:szCs w:val="24"/>
        </w:rPr>
        <w:t>SOUHAITE ACCELERER LES NEGOCIATIONS</w:t>
      </w:r>
      <w:r w:rsidRPr="00977104">
        <w:rPr>
          <w:rFonts w:ascii="Times New Roman" w:hAnsi="Times New Roman" w:cs="Times New Roman"/>
          <w:b/>
          <w:color w:val="5B9BD5"/>
          <w:sz w:val="24"/>
          <w:szCs w:val="24"/>
        </w:rPr>
        <w:t xml:space="preserve"> SUR LE TTIP</w:t>
      </w:r>
      <w:r w:rsidR="002C06F6">
        <w:rPr>
          <w:rFonts w:ascii="Times New Roman" w:hAnsi="Times New Roman" w:cs="Times New Roman"/>
          <w:b/>
          <w:color w:val="5B9BD5"/>
          <w:sz w:val="24"/>
          <w:szCs w:val="24"/>
        </w:rPr>
        <w:t xml:space="preserve"> </w:t>
      </w:r>
      <w:r>
        <w:rPr>
          <w:rFonts w:ascii="Times New Roman" w:hAnsi="Times New Roman" w:cs="Times New Roman"/>
          <w:b/>
          <w:color w:val="5B9BD5"/>
          <w:sz w:val="24"/>
          <w:szCs w:val="24"/>
        </w:rPr>
        <w:t xml:space="preserve">: </w:t>
      </w:r>
      <w:r w:rsidRPr="00977104">
        <w:rPr>
          <w:rFonts w:ascii="Times New Roman" w:hAnsi="Times New Roman" w:cs="Times New Roman"/>
          <w:color w:val="000000" w:themeColor="text1"/>
          <w:sz w:val="24"/>
          <w:szCs w:val="24"/>
        </w:rPr>
        <w:t xml:space="preserve">La </w:t>
      </w:r>
      <w:r w:rsidR="000E683E">
        <w:rPr>
          <w:rFonts w:ascii="Times New Roman" w:hAnsi="Times New Roman" w:cs="Times New Roman"/>
          <w:color w:val="000000" w:themeColor="text1"/>
          <w:sz w:val="24"/>
          <w:szCs w:val="24"/>
        </w:rPr>
        <w:t>C</w:t>
      </w:r>
      <w:r w:rsidR="000E683E" w:rsidRPr="00977104">
        <w:rPr>
          <w:rFonts w:ascii="Times New Roman" w:hAnsi="Times New Roman" w:cs="Times New Roman"/>
          <w:color w:val="000000" w:themeColor="text1"/>
          <w:sz w:val="24"/>
          <w:szCs w:val="24"/>
        </w:rPr>
        <w:t xml:space="preserve">ommissaire </w:t>
      </w:r>
      <w:r w:rsidRPr="00977104">
        <w:rPr>
          <w:rFonts w:ascii="Times New Roman" w:hAnsi="Times New Roman" w:cs="Times New Roman"/>
          <w:color w:val="000000" w:themeColor="text1"/>
          <w:sz w:val="24"/>
          <w:szCs w:val="24"/>
        </w:rPr>
        <w:t xml:space="preserve">au Commerce, Cecilia </w:t>
      </w:r>
      <w:r w:rsidR="000E683E" w:rsidRPr="00977104">
        <w:rPr>
          <w:rFonts w:ascii="Times New Roman" w:hAnsi="Times New Roman" w:cs="Times New Roman"/>
          <w:color w:val="000000" w:themeColor="text1"/>
          <w:sz w:val="24"/>
          <w:szCs w:val="24"/>
        </w:rPr>
        <w:t>M</w:t>
      </w:r>
      <w:r w:rsidR="000E683E">
        <w:rPr>
          <w:rFonts w:ascii="Times New Roman" w:hAnsi="Times New Roman" w:cs="Times New Roman"/>
          <w:color w:val="000000" w:themeColor="text1"/>
          <w:sz w:val="24"/>
          <w:szCs w:val="24"/>
        </w:rPr>
        <w:t>ALMSTROM</w:t>
      </w:r>
      <w:r w:rsidRPr="00977104">
        <w:rPr>
          <w:rFonts w:ascii="Times New Roman" w:hAnsi="Times New Roman" w:cs="Times New Roman"/>
          <w:color w:val="000000" w:themeColor="text1"/>
          <w:sz w:val="24"/>
          <w:szCs w:val="24"/>
        </w:rPr>
        <w:t xml:space="preserve">, a dit espérer, le mardi 2 février lors de la réunion informelle des ministres du Commerce de l’UE, rapprocher les négociations de libre-échange entre l'UE et les États-Unis (TTIP) de leur phase finale d'ici l'été. Le but affiché est que le TTIP puisse être conclu d'ici la fin du mandat de l'administration américaine dirigée par le </w:t>
      </w:r>
      <w:r w:rsidR="000E683E">
        <w:rPr>
          <w:rFonts w:ascii="Times New Roman" w:hAnsi="Times New Roman" w:cs="Times New Roman"/>
          <w:color w:val="000000" w:themeColor="text1"/>
          <w:sz w:val="24"/>
          <w:szCs w:val="24"/>
        </w:rPr>
        <w:t>P</w:t>
      </w:r>
      <w:r w:rsidRPr="00977104">
        <w:rPr>
          <w:rFonts w:ascii="Times New Roman" w:hAnsi="Times New Roman" w:cs="Times New Roman"/>
          <w:color w:val="000000" w:themeColor="text1"/>
          <w:sz w:val="24"/>
          <w:szCs w:val="24"/>
        </w:rPr>
        <w:t>résident Barack O</w:t>
      </w:r>
      <w:r w:rsidR="000E683E">
        <w:rPr>
          <w:rFonts w:ascii="Times New Roman" w:hAnsi="Times New Roman" w:cs="Times New Roman"/>
          <w:color w:val="000000" w:themeColor="text1"/>
          <w:sz w:val="24"/>
          <w:szCs w:val="24"/>
        </w:rPr>
        <w:t>BAMA</w:t>
      </w:r>
      <w:r w:rsidRPr="00977104">
        <w:rPr>
          <w:rFonts w:ascii="Times New Roman" w:hAnsi="Times New Roman" w:cs="Times New Roman"/>
          <w:color w:val="000000" w:themeColor="text1"/>
          <w:sz w:val="24"/>
          <w:szCs w:val="24"/>
        </w:rPr>
        <w:t xml:space="preserve">. À cette fin, l'UE et les États-Unis ont programmé trois rounds de négociations d'ici l'été, en février, avril et juin, a-t-elle précisé. Pour rappel, les négociations TTIP sont entrées dans une phase politique lors du 11ème round de pourparlers, en octobre 2015 à Miami, où les parties ont échangé leurs offres tarifaires révisées. Des discussions sur les services et les marchés publics, des discussions sur le chapitre réglementaire et un premier échange de vues sur les propositions de l'UE concernant la protection des investissements et la cour d'investissement, présentées à l'automne 2015, domineront l'agenda du 12ème round de négociations programmé  la semaine du 22 février à Bruxelles, a annoncé Mme </w:t>
      </w:r>
      <w:r w:rsidR="000E683E" w:rsidRPr="00977104">
        <w:rPr>
          <w:rFonts w:ascii="Times New Roman" w:hAnsi="Times New Roman" w:cs="Times New Roman"/>
          <w:color w:val="000000" w:themeColor="text1"/>
          <w:sz w:val="24"/>
          <w:szCs w:val="24"/>
        </w:rPr>
        <w:t>M</w:t>
      </w:r>
      <w:r w:rsidR="000E683E">
        <w:rPr>
          <w:rFonts w:ascii="Times New Roman" w:hAnsi="Times New Roman" w:cs="Times New Roman"/>
          <w:color w:val="000000" w:themeColor="text1"/>
          <w:sz w:val="24"/>
          <w:szCs w:val="24"/>
        </w:rPr>
        <w:t>ALMSTROM</w:t>
      </w:r>
      <w:r w:rsidRPr="00977104">
        <w:rPr>
          <w:rFonts w:ascii="Times New Roman" w:hAnsi="Times New Roman" w:cs="Times New Roman"/>
          <w:color w:val="000000" w:themeColor="text1"/>
          <w:sz w:val="24"/>
          <w:szCs w:val="24"/>
        </w:rPr>
        <w:t>.</w:t>
      </w:r>
    </w:p>
    <w:p w:rsidR="00977104" w:rsidRDefault="00977104" w:rsidP="00C3530D">
      <w:pPr>
        <w:jc w:val="both"/>
        <w:rPr>
          <w:color w:val="000000" w:themeColor="text1"/>
        </w:rPr>
      </w:pPr>
    </w:p>
    <w:p w:rsidR="00394EC1" w:rsidRPr="000E683E" w:rsidRDefault="00394EC1" w:rsidP="00394EC1">
      <w:pPr>
        <w:jc w:val="both"/>
        <w:rPr>
          <w:rFonts w:ascii="Times New Roman" w:hAnsi="Times New Roman" w:cs="Times New Roman"/>
          <w:color w:val="000000" w:themeColor="text1"/>
          <w:sz w:val="24"/>
          <w:szCs w:val="24"/>
        </w:rPr>
      </w:pPr>
      <w:r w:rsidRPr="00394EC1">
        <w:rPr>
          <w:rFonts w:ascii="Times New Roman" w:hAnsi="Times New Roman" w:cs="Times New Roman"/>
          <w:b/>
          <w:color w:val="5B9BD5"/>
          <w:sz w:val="24"/>
          <w:szCs w:val="24"/>
        </w:rPr>
        <w:t xml:space="preserve">UNE INITIATIVE POLITIQUE </w:t>
      </w:r>
      <w:r w:rsidR="000E683E">
        <w:rPr>
          <w:rFonts w:ascii="Times New Roman" w:hAnsi="Times New Roman" w:cs="Times New Roman"/>
          <w:b/>
          <w:color w:val="5B9BD5"/>
          <w:sz w:val="24"/>
          <w:szCs w:val="24"/>
        </w:rPr>
        <w:t xml:space="preserve">DE LA COMMISSION </w:t>
      </w:r>
      <w:r w:rsidRPr="00394EC1">
        <w:rPr>
          <w:rFonts w:ascii="Times New Roman" w:hAnsi="Times New Roman" w:cs="Times New Roman"/>
          <w:b/>
          <w:color w:val="5B9BD5"/>
          <w:sz w:val="24"/>
          <w:szCs w:val="24"/>
        </w:rPr>
        <w:t>A VENIR SUR LA GOUVERNANCE DES OCEANS :</w:t>
      </w:r>
      <w:r>
        <w:rPr>
          <w:rFonts w:ascii="Times New Roman" w:hAnsi="Times New Roman" w:cs="Times New Roman"/>
          <w:b/>
          <w:color w:val="5B9BD5"/>
          <w:sz w:val="24"/>
          <w:szCs w:val="24"/>
        </w:rPr>
        <w:t xml:space="preserve"> </w:t>
      </w:r>
      <w:r w:rsidRPr="00394EC1">
        <w:rPr>
          <w:rFonts w:ascii="Times New Roman" w:hAnsi="Times New Roman" w:cs="Times New Roman"/>
          <w:color w:val="000000" w:themeColor="text1"/>
          <w:sz w:val="24"/>
          <w:szCs w:val="24"/>
        </w:rPr>
        <w:t xml:space="preserve">Après avoir effectué des visites dans des pays et lancé une consultation publique, le </w:t>
      </w:r>
      <w:r w:rsidR="000E683E">
        <w:rPr>
          <w:rFonts w:ascii="Times New Roman" w:hAnsi="Times New Roman" w:cs="Times New Roman"/>
          <w:color w:val="000000" w:themeColor="text1"/>
          <w:sz w:val="24"/>
          <w:szCs w:val="24"/>
        </w:rPr>
        <w:t>C</w:t>
      </w:r>
      <w:r w:rsidR="000E683E" w:rsidRPr="00394EC1">
        <w:rPr>
          <w:rFonts w:ascii="Times New Roman" w:hAnsi="Times New Roman" w:cs="Times New Roman"/>
          <w:color w:val="000000" w:themeColor="text1"/>
          <w:sz w:val="24"/>
          <w:szCs w:val="24"/>
        </w:rPr>
        <w:t xml:space="preserve">ommissaire </w:t>
      </w:r>
      <w:r w:rsidRPr="00394EC1">
        <w:rPr>
          <w:rFonts w:ascii="Times New Roman" w:hAnsi="Times New Roman" w:cs="Times New Roman"/>
          <w:color w:val="000000" w:themeColor="text1"/>
          <w:sz w:val="24"/>
          <w:szCs w:val="24"/>
        </w:rPr>
        <w:t>européen à la Pêche, Karmenu V</w:t>
      </w:r>
      <w:r w:rsidR="000E683E">
        <w:rPr>
          <w:rFonts w:ascii="Times New Roman" w:hAnsi="Times New Roman" w:cs="Times New Roman"/>
          <w:color w:val="000000" w:themeColor="text1"/>
          <w:sz w:val="24"/>
          <w:szCs w:val="24"/>
        </w:rPr>
        <w:t>ELLA</w:t>
      </w:r>
      <w:r w:rsidRPr="00394EC1">
        <w:rPr>
          <w:rFonts w:ascii="Times New Roman" w:hAnsi="Times New Roman" w:cs="Times New Roman"/>
          <w:color w:val="000000" w:themeColor="text1"/>
          <w:sz w:val="24"/>
          <w:szCs w:val="24"/>
        </w:rPr>
        <w:t xml:space="preserve">, a annoncé, le mercredi 3 février dernier à Malte, en marge du sommet 'SeaWeb Seafood', que la Commission allait présenter dans les prochains mois une initiative politique sur la gouvernance des océans. Le débat international sur la gouvernance des océans s'intensifie, à mesure qu'augmente l'utilisation des ressources marines dans le monde. La pêche illégale, l'exploitation minière des fonds non contrôlée, les déchets marins ne sont que quelques-uns des défis à relever grâce à la coopération au niveau mondial, estime la Commission. Lancée du 5 juin au 15 octobre 2015, la consultation publique a permis de recueillir 154 contributions venant de gouvernements, citoyens, organismes publics, entreprises, associations et ONG. En outre, le </w:t>
      </w:r>
      <w:r w:rsidR="000E683E">
        <w:rPr>
          <w:rFonts w:ascii="Times New Roman" w:hAnsi="Times New Roman" w:cs="Times New Roman"/>
          <w:color w:val="000000" w:themeColor="text1"/>
          <w:sz w:val="24"/>
          <w:szCs w:val="24"/>
        </w:rPr>
        <w:t>C</w:t>
      </w:r>
      <w:r w:rsidR="000E683E" w:rsidRPr="00394EC1">
        <w:rPr>
          <w:rFonts w:ascii="Times New Roman" w:hAnsi="Times New Roman" w:cs="Times New Roman"/>
          <w:color w:val="000000" w:themeColor="text1"/>
          <w:sz w:val="24"/>
          <w:szCs w:val="24"/>
        </w:rPr>
        <w:t xml:space="preserve">ommissaire </w:t>
      </w:r>
      <w:r w:rsidRPr="00394EC1">
        <w:rPr>
          <w:rFonts w:ascii="Times New Roman" w:hAnsi="Times New Roman" w:cs="Times New Roman"/>
          <w:color w:val="000000" w:themeColor="text1"/>
          <w:sz w:val="24"/>
          <w:szCs w:val="24"/>
        </w:rPr>
        <w:t>V</w:t>
      </w:r>
      <w:r w:rsidR="000E683E">
        <w:rPr>
          <w:rFonts w:ascii="Times New Roman" w:hAnsi="Times New Roman" w:cs="Times New Roman"/>
          <w:color w:val="000000" w:themeColor="text1"/>
          <w:sz w:val="24"/>
          <w:szCs w:val="24"/>
        </w:rPr>
        <w:t>ELLA</w:t>
      </w:r>
      <w:r w:rsidRPr="00394EC1">
        <w:rPr>
          <w:rFonts w:ascii="Times New Roman" w:hAnsi="Times New Roman" w:cs="Times New Roman"/>
          <w:color w:val="000000" w:themeColor="text1"/>
          <w:sz w:val="24"/>
          <w:szCs w:val="24"/>
        </w:rPr>
        <w:t xml:space="preserve"> effectué des visites en Espagne, en France, au Portugal, en Irlande, à Malte, aux États-Unis, en Norvège ou encore au Chili pour prendre connaissance des idées sur les moyens de développer la coopération sur la gouvernance des mers et océans. Le Commissaire V</w:t>
      </w:r>
      <w:r w:rsidR="000E683E">
        <w:rPr>
          <w:rFonts w:ascii="Times New Roman" w:hAnsi="Times New Roman" w:cs="Times New Roman"/>
          <w:color w:val="000000" w:themeColor="text1"/>
          <w:sz w:val="24"/>
          <w:szCs w:val="24"/>
        </w:rPr>
        <w:t>ELLA</w:t>
      </w:r>
      <w:r w:rsidRPr="00394EC1">
        <w:rPr>
          <w:rFonts w:ascii="Times New Roman" w:hAnsi="Times New Roman" w:cs="Times New Roman"/>
          <w:color w:val="000000" w:themeColor="text1"/>
          <w:sz w:val="24"/>
          <w:szCs w:val="24"/>
        </w:rPr>
        <w:t xml:space="preserve"> relève que les institutions sont là, mais qu'elles ne collaborent pas assez et, parfois, </w:t>
      </w:r>
      <w:r w:rsidR="000E683E">
        <w:rPr>
          <w:rFonts w:ascii="Times New Roman" w:hAnsi="Times New Roman" w:cs="Times New Roman"/>
          <w:color w:val="000000" w:themeColor="text1"/>
          <w:sz w:val="24"/>
          <w:szCs w:val="24"/>
        </w:rPr>
        <w:t>qu’</w:t>
      </w:r>
      <w:r w:rsidRPr="00394EC1">
        <w:rPr>
          <w:rFonts w:ascii="Times New Roman" w:hAnsi="Times New Roman" w:cs="Times New Roman"/>
          <w:color w:val="000000" w:themeColor="text1"/>
          <w:sz w:val="24"/>
          <w:szCs w:val="24"/>
        </w:rPr>
        <w:t>il n'y a pas assez de volonté pour appliquer les règles existantes. Des activités émergentes, telles que les énergies renouvelables en mer, l'exploitation d'hydrocarbures en eau profonde et l'exploitation minière des fonds marins,</w:t>
      </w:r>
      <w:r w:rsidRPr="008B2A2E">
        <w:rPr>
          <w:rFonts w:ascii="Times New Roman" w:hAnsi="Times New Roman" w:cs="Times New Roman"/>
          <w:i/>
          <w:color w:val="000000" w:themeColor="text1"/>
          <w:sz w:val="24"/>
          <w:szCs w:val="24"/>
        </w:rPr>
        <w:t xml:space="preserve"> « doivent être correctement réglementées pour éviter qu'elles fassent plus de mal que de bien »,</w:t>
      </w:r>
      <w:r w:rsidRPr="00394EC1">
        <w:rPr>
          <w:rFonts w:ascii="Times New Roman" w:hAnsi="Times New Roman" w:cs="Times New Roman"/>
          <w:color w:val="000000" w:themeColor="text1"/>
          <w:sz w:val="24"/>
          <w:szCs w:val="24"/>
        </w:rPr>
        <w:t xml:space="preserve"> souligne encore le </w:t>
      </w:r>
      <w:r w:rsidR="000E683E">
        <w:rPr>
          <w:rFonts w:ascii="Times New Roman" w:hAnsi="Times New Roman" w:cs="Times New Roman"/>
          <w:color w:val="000000" w:themeColor="text1"/>
          <w:sz w:val="24"/>
          <w:szCs w:val="24"/>
        </w:rPr>
        <w:t>C</w:t>
      </w:r>
      <w:r w:rsidR="000E683E" w:rsidRPr="00394EC1">
        <w:rPr>
          <w:rFonts w:ascii="Times New Roman" w:hAnsi="Times New Roman" w:cs="Times New Roman"/>
          <w:color w:val="000000" w:themeColor="text1"/>
          <w:sz w:val="24"/>
          <w:szCs w:val="24"/>
        </w:rPr>
        <w:t>ommissaire</w:t>
      </w:r>
      <w:r w:rsidRPr="00394EC1">
        <w:rPr>
          <w:rFonts w:ascii="Times New Roman" w:hAnsi="Times New Roman" w:cs="Times New Roman"/>
          <w:color w:val="000000" w:themeColor="text1"/>
          <w:sz w:val="24"/>
          <w:szCs w:val="24"/>
        </w:rPr>
        <w:t>. Il conseille de renforcer les conventions régionales des mers et les organisations régionales de gestion des pêches.</w:t>
      </w:r>
    </w:p>
    <w:p w:rsidR="00394EC1" w:rsidRPr="006A4CA0" w:rsidRDefault="00394EC1" w:rsidP="00C3530D">
      <w:pPr>
        <w:jc w:val="both"/>
        <w:rPr>
          <w:color w:val="000000" w:themeColor="text1"/>
        </w:rPr>
      </w:pPr>
    </w:p>
    <w:p w:rsidR="005076EB" w:rsidRDefault="005076EB" w:rsidP="005076EB">
      <w:pPr>
        <w:spacing w:after="0"/>
        <w:jc w:val="both"/>
        <w:rPr>
          <w:rFonts w:ascii="Times New Roman" w:hAnsi="Times New Roman" w:cs="Times New Roman"/>
          <w:b/>
          <w:color w:val="5B9BD5" w:themeColor="accent1"/>
          <w:sz w:val="24"/>
          <w:szCs w:val="24"/>
        </w:rPr>
      </w:pPr>
    </w:p>
    <w:p w:rsidR="005076EB" w:rsidRDefault="005076EB" w:rsidP="005076EB">
      <w:pPr>
        <w:rPr>
          <w:rFonts w:ascii="Times New Roman" w:hAnsi="Times New Roman" w:cs="Times New Roman"/>
          <w:b/>
          <w:color w:val="5B9BD5" w:themeColor="accent1"/>
          <w:sz w:val="24"/>
          <w:szCs w:val="24"/>
        </w:rPr>
      </w:pPr>
    </w:p>
    <w:p w:rsidR="005076EB" w:rsidRPr="00FA3AA3" w:rsidRDefault="005076EB" w:rsidP="005076EB">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AGENDA DE LA SEMAINE DU 8 AU 12 FÉVRIER 2016</w:t>
      </w:r>
    </w:p>
    <w:p w:rsidR="005076EB" w:rsidRPr="00DF5F3B" w:rsidRDefault="005076EB" w:rsidP="005076E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334"/>
        <w:gridCol w:w="2552"/>
        <w:gridCol w:w="1843"/>
        <w:gridCol w:w="1762"/>
      </w:tblGrid>
      <w:tr w:rsidR="005076EB" w:rsidRPr="00DF5F3B" w:rsidTr="005B702E">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13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81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5076EB" w:rsidRPr="00DF5F3B" w:rsidTr="005B702E">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Default="005076EB" w:rsidP="005B702E">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Lundi</w:t>
            </w:r>
          </w:p>
          <w:p w:rsidR="005076EB" w:rsidRPr="00DF5F3B" w:rsidRDefault="007B229D" w:rsidP="005B702E">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08</w:t>
            </w:r>
            <w:r w:rsidR="005076EB">
              <w:rPr>
                <w:rFonts w:ascii="Times New Roman" w:hAnsi="Times New Roman" w:cs="Times New Roman"/>
                <w:b/>
                <w:bCs/>
                <w:color w:val="000000"/>
                <w:sz w:val="24"/>
                <w:szCs w:val="24"/>
                <w:lang w:val="en-US" w:eastAsia="fr-BE"/>
              </w:rPr>
              <w:t>/02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Default="005076EB" w:rsidP="005B702E">
            <w:pPr>
              <w:spacing w:after="0" w:line="276" w:lineRule="auto"/>
              <w:jc w:val="both"/>
              <w:rPr>
                <w:rFonts w:eastAsia="Calibri"/>
              </w:rPr>
            </w:pPr>
          </w:p>
          <w:p w:rsidR="005076EB" w:rsidRPr="00457007" w:rsidRDefault="005076EB" w:rsidP="005B702E">
            <w:pPr>
              <w:spacing w:after="0" w:line="276" w:lineRule="auto"/>
              <w:jc w:val="both"/>
              <w:rPr>
                <w:rFonts w:ascii="Times New Roman" w:eastAsia="Calibri" w:hAnsi="Times New Roman" w:cs="Times New Roman"/>
                <w:b/>
                <w:u w:val="singl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DF5F3B" w:rsidRDefault="005076EB" w:rsidP="005B702E">
            <w:pPr>
              <w:autoSpaceDE w:val="0"/>
              <w:autoSpaceDN w:val="0"/>
              <w:adjustRightInd w:val="0"/>
              <w:spacing w:after="0" w:line="240" w:lineRule="auto"/>
              <w:jc w:val="both"/>
              <w:rPr>
                <w:rFonts w:ascii="Times New Roman" w:hAnsi="Times New Roman" w:cs="Times New Roman"/>
                <w:iCs/>
                <w:color w:val="44546A" w:themeColor="text2"/>
                <w:lang w:eastAsia="fr-BE"/>
              </w:rPr>
            </w:pPr>
          </w:p>
          <w:p w:rsidR="005076EB" w:rsidRPr="00E920E8" w:rsidRDefault="005076EB" w:rsidP="005B702E">
            <w:pPr>
              <w:autoSpaceDE w:val="0"/>
              <w:autoSpaceDN w:val="0"/>
              <w:adjustRightInd w:val="0"/>
              <w:spacing w:after="0" w:line="240" w:lineRule="auto"/>
              <w:rPr>
                <w:rFonts w:ascii="Times New Roman" w:hAnsi="Times New Roman" w:cs="Times New Roman"/>
                <w:iCs/>
                <w:lang w:eastAsia="fr-BE"/>
              </w:rPr>
            </w:pPr>
          </w:p>
          <w:p w:rsidR="005076EB" w:rsidRPr="00DF5F3B" w:rsidRDefault="005076EB" w:rsidP="005B702E">
            <w:pPr>
              <w:autoSpaceDE w:val="0"/>
              <w:autoSpaceDN w:val="0"/>
              <w:adjustRightInd w:val="0"/>
              <w:spacing w:after="0" w:line="240" w:lineRule="auto"/>
              <w:jc w:val="center"/>
              <w:rPr>
                <w:rFonts w:ascii="Times New Roman" w:hAnsi="Times New Roman" w:cs="Times New Roman"/>
                <w:iCs/>
                <w:lang w:eastAsia="fr-BE"/>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Default="005076EB" w:rsidP="005B702E">
            <w:pPr>
              <w:autoSpaceDE w:val="0"/>
              <w:autoSpaceDN w:val="0"/>
              <w:adjustRightInd w:val="0"/>
              <w:spacing w:after="0" w:line="240" w:lineRule="auto"/>
              <w:rPr>
                <w:rFonts w:ascii="Times New Roman" w:eastAsia="Calibri" w:hAnsi="Times New Roman" w:cs="Times New Roman"/>
                <w:b/>
                <w:sz w:val="24"/>
                <w:szCs w:val="24"/>
              </w:rPr>
            </w:pPr>
          </w:p>
          <w:p w:rsidR="005076EB" w:rsidRPr="00DF5F3B" w:rsidRDefault="005076EB" w:rsidP="005B702E">
            <w:pPr>
              <w:autoSpaceDE w:val="0"/>
              <w:autoSpaceDN w:val="0"/>
              <w:adjustRightInd w:val="0"/>
              <w:spacing w:after="0" w:line="240" w:lineRule="auto"/>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rsidR="005076EB" w:rsidRPr="00986D39" w:rsidRDefault="005076EB" w:rsidP="005B702E">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5076EB" w:rsidRDefault="005076EB" w:rsidP="005B702E">
            <w:pPr>
              <w:autoSpaceDE w:val="0"/>
              <w:autoSpaceDN w:val="0"/>
              <w:adjustRightInd w:val="0"/>
              <w:spacing w:after="0" w:line="240" w:lineRule="auto"/>
              <w:jc w:val="both"/>
              <w:rPr>
                <w:rFonts w:ascii="Times New Roman" w:eastAsia="Calibri" w:hAnsi="Times New Roman" w:cs="Times New Roman"/>
                <w:b/>
                <w:szCs w:val="24"/>
              </w:rPr>
            </w:pPr>
          </w:p>
          <w:p w:rsidR="005076EB" w:rsidRPr="008D5C48" w:rsidRDefault="005076EB" w:rsidP="005B702E">
            <w:pPr>
              <w:autoSpaceDE w:val="0"/>
              <w:autoSpaceDN w:val="0"/>
              <w:adjustRightInd w:val="0"/>
              <w:spacing w:after="0" w:line="240" w:lineRule="auto"/>
              <w:jc w:val="both"/>
              <w:rPr>
                <w:rFonts w:ascii="Times New Roman" w:eastAsia="Calibri" w:hAnsi="Times New Roman" w:cs="Times New Roman"/>
                <w:szCs w:val="24"/>
              </w:rPr>
            </w:pPr>
          </w:p>
        </w:tc>
      </w:tr>
      <w:tr w:rsidR="005076EB" w:rsidRPr="00DF5F3B" w:rsidTr="005B702E">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740125" w:rsidRDefault="005076EB" w:rsidP="005B702E">
            <w:pPr>
              <w:spacing w:after="0" w:line="276" w:lineRule="auto"/>
              <w:jc w:val="center"/>
              <w:rPr>
                <w:rFonts w:ascii="Times New Roman" w:hAnsi="Times New Roman" w:cs="Times New Roman"/>
                <w:b/>
                <w:bCs/>
                <w:color w:val="000000"/>
                <w:sz w:val="24"/>
                <w:szCs w:val="24"/>
                <w:lang w:eastAsia="fr-BE"/>
              </w:rPr>
            </w:pPr>
          </w:p>
          <w:p w:rsidR="005076EB" w:rsidRPr="00DF5F3B" w:rsidRDefault="005076EB" w:rsidP="005B702E">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rsidR="005076EB" w:rsidRPr="00DF5F3B" w:rsidRDefault="007B229D" w:rsidP="005B702E">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09</w:t>
            </w:r>
            <w:r w:rsidR="005076EB">
              <w:rPr>
                <w:rFonts w:ascii="Times New Roman" w:hAnsi="Times New Roman" w:cs="Times New Roman"/>
                <w:b/>
                <w:bCs/>
                <w:color w:val="000000"/>
                <w:sz w:val="24"/>
                <w:szCs w:val="24"/>
                <w:lang w:val="en-US" w:eastAsia="fr-BE"/>
              </w:rPr>
              <w:t>/02</w:t>
            </w:r>
          </w:p>
          <w:p w:rsidR="005076EB" w:rsidRPr="00DF5F3B" w:rsidRDefault="005076EB" w:rsidP="005B702E">
            <w:pPr>
              <w:spacing w:after="0" w:line="276" w:lineRule="auto"/>
              <w:jc w:val="center"/>
              <w:rPr>
                <w:rFonts w:ascii="Times New Roman" w:hAnsi="Times New Roman"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Default="005076EB" w:rsidP="005B702E">
            <w:pPr>
              <w:spacing w:after="0" w:line="276" w:lineRule="auto"/>
              <w:jc w:val="both"/>
              <w:rPr>
                <w:rFonts w:ascii="Times New Roman" w:eastAsia="Calibri" w:hAnsi="Times New Roman" w:cs="Times New Roman"/>
              </w:rPr>
            </w:pPr>
          </w:p>
          <w:p w:rsidR="005076EB" w:rsidRPr="002D01BD" w:rsidRDefault="005076EB" w:rsidP="005B702E">
            <w:pPr>
              <w:spacing w:after="0" w:line="276" w:lineRule="auto"/>
              <w:jc w:val="both"/>
              <w:rPr>
                <w:rFonts w:ascii="Times New Roman" w:eastAsia="Calibri" w:hAnsi="Times New Roman" w:cs="Times New Roman"/>
              </w:rPr>
            </w:pPr>
          </w:p>
          <w:p w:rsidR="005076EB" w:rsidRPr="00A5551F" w:rsidRDefault="005076EB" w:rsidP="007B229D">
            <w:pPr>
              <w:spacing w:after="0" w:line="276" w:lineRule="auto"/>
              <w:jc w:val="both"/>
              <w:rPr>
                <w:rFonts w:ascii="Times New Roman" w:eastAsia="Calibri" w:hAnsi="Times New Roman" w:cs="Times New Roman"/>
                <w:b/>
                <w:u w:val="singl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7B229D" w:rsidRDefault="007B229D" w:rsidP="005B702E">
            <w:pPr>
              <w:spacing w:after="0" w:line="276" w:lineRule="auto"/>
              <w:jc w:val="both"/>
              <w:rPr>
                <w:rFonts w:ascii="Times New Roman" w:eastAsia="Calibri" w:hAnsi="Times New Roman" w:cs="Times New Roman"/>
              </w:rPr>
            </w:pPr>
            <w:r w:rsidRPr="007B229D">
              <w:rPr>
                <w:rFonts w:ascii="Times New Roman" w:eastAsia="Calibri" w:hAnsi="Times New Roman" w:cs="Times New Roman"/>
              </w:rPr>
              <w:t>Séminaire sur l’état des ressources de la Méditerranée et sur l’approche de la politique commune de la pêche (PCP)</w:t>
            </w:r>
          </w:p>
          <w:p w:rsidR="005076EB" w:rsidRPr="00DF5F3B" w:rsidRDefault="005076EB" w:rsidP="005B702E">
            <w:pPr>
              <w:spacing w:after="0" w:line="276" w:lineRule="auto"/>
              <w:jc w:val="both"/>
              <w:rPr>
                <w:rFonts w:ascii="Times New Roman" w:eastAsia="Calibri" w:hAnsi="Times New Roman" w:cs="Times New Roman"/>
                <w:color w:val="44546A" w:themeColor="text2"/>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5076EB" w:rsidRPr="00EA59FE" w:rsidRDefault="005076EB" w:rsidP="005B702E">
            <w:pPr>
              <w:autoSpaceDE w:val="0"/>
              <w:autoSpaceDN w:val="0"/>
              <w:adjustRightInd w:val="0"/>
              <w:spacing w:after="0" w:line="240" w:lineRule="auto"/>
              <w:jc w:val="both"/>
              <w:rPr>
                <w:rFonts w:ascii="Times New Roman" w:eastAsiaTheme="minorEastAsia" w:hAnsi="Times New Roman" w:cs="Times New Roman"/>
                <w:sz w:val="24"/>
                <w:szCs w:val="24"/>
                <w:lang w:val="fr-FR" w:eastAsia="fr-BE"/>
              </w:rPr>
            </w:pPr>
          </w:p>
          <w:p w:rsidR="005076EB" w:rsidRPr="00EA59FE" w:rsidRDefault="005076EB" w:rsidP="005B702E">
            <w:pPr>
              <w:autoSpaceDE w:val="0"/>
              <w:autoSpaceDN w:val="0"/>
              <w:adjustRightInd w:val="0"/>
              <w:spacing w:after="0" w:line="240" w:lineRule="auto"/>
              <w:jc w:val="both"/>
              <w:rPr>
                <w:rFonts w:ascii="Times New Roman" w:eastAsiaTheme="minorEastAsia" w:hAnsi="Times New Roman" w:cs="Times New Roman"/>
                <w:sz w:val="24"/>
                <w:szCs w:val="24"/>
                <w:lang w:val="fr-FR" w:eastAsia="fr-BE"/>
              </w:rPr>
            </w:pPr>
          </w:p>
        </w:tc>
      </w:tr>
      <w:tr w:rsidR="005076EB" w:rsidRPr="00DF5F3B" w:rsidTr="005B702E">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A5551F" w:rsidRDefault="005076EB" w:rsidP="005B702E">
            <w:pPr>
              <w:spacing w:after="0" w:line="276" w:lineRule="auto"/>
              <w:jc w:val="center"/>
              <w:rPr>
                <w:rFonts w:ascii="Times New Roman" w:hAnsi="Times New Roman" w:cs="Times New Roman"/>
                <w:b/>
                <w:bCs/>
                <w:color w:val="000000"/>
                <w:lang w:eastAsia="fr-BE"/>
              </w:rPr>
            </w:pPr>
          </w:p>
          <w:p w:rsidR="005076EB" w:rsidRDefault="005076EB" w:rsidP="005B702E">
            <w:pPr>
              <w:spacing w:after="0" w:line="276" w:lineRule="auto"/>
              <w:jc w:val="center"/>
              <w:rPr>
                <w:rFonts w:ascii="Times New Roman" w:hAnsi="Times New Roman" w:cs="Times New Roman"/>
                <w:b/>
                <w:bCs/>
                <w:color w:val="000000"/>
                <w:sz w:val="24"/>
                <w:lang w:val="en-US" w:eastAsia="fr-BE"/>
              </w:rPr>
            </w:pPr>
            <w:r w:rsidRPr="00371626">
              <w:rPr>
                <w:rFonts w:ascii="Times New Roman" w:hAnsi="Times New Roman" w:cs="Times New Roman"/>
                <w:b/>
                <w:bCs/>
                <w:color w:val="000000"/>
                <w:sz w:val="24"/>
                <w:lang w:val="en-US" w:eastAsia="fr-BE"/>
              </w:rPr>
              <w:t>Mercredi</w:t>
            </w:r>
          </w:p>
          <w:p w:rsidR="005076EB" w:rsidRPr="00371626" w:rsidRDefault="007B229D" w:rsidP="005B702E">
            <w:pPr>
              <w:spacing w:after="0" w:line="276" w:lineRule="auto"/>
              <w:jc w:val="center"/>
              <w:rPr>
                <w:rFonts w:ascii="Times New Roman" w:hAnsi="Times New Roman" w:cs="Times New Roman"/>
                <w:b/>
                <w:bCs/>
                <w:color w:val="000000"/>
                <w:sz w:val="24"/>
                <w:lang w:val="en-US" w:eastAsia="fr-BE"/>
              </w:rPr>
            </w:pPr>
            <w:r>
              <w:rPr>
                <w:rFonts w:ascii="Times New Roman" w:hAnsi="Times New Roman" w:cs="Times New Roman"/>
                <w:b/>
                <w:bCs/>
                <w:color w:val="000000"/>
                <w:sz w:val="24"/>
                <w:lang w:val="en-US" w:eastAsia="fr-BE"/>
              </w:rPr>
              <w:t>10</w:t>
            </w:r>
            <w:r w:rsidR="005076EB">
              <w:rPr>
                <w:rFonts w:ascii="Times New Roman" w:hAnsi="Times New Roman" w:cs="Times New Roman"/>
                <w:b/>
                <w:bCs/>
                <w:color w:val="000000"/>
                <w:sz w:val="24"/>
                <w:lang w:val="en-US" w:eastAsia="fr-BE"/>
              </w:rPr>
              <w:t>/02</w:t>
            </w:r>
          </w:p>
          <w:p w:rsidR="005076EB" w:rsidRPr="00DF5F3B" w:rsidRDefault="005076EB" w:rsidP="005B702E">
            <w:pPr>
              <w:spacing w:after="0" w:line="276" w:lineRule="auto"/>
              <w:rPr>
                <w:rFonts w:ascii="Times New Roman" w:hAnsi="Times New Roman" w:cs="Times New Roman"/>
                <w:b/>
                <w:bCs/>
                <w:color w:val="000000"/>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Default="005076EB" w:rsidP="005B702E">
            <w:pPr>
              <w:spacing w:after="0" w:line="276" w:lineRule="auto"/>
              <w:jc w:val="both"/>
              <w:rPr>
                <w:rFonts w:ascii="Times New Roman" w:eastAsia="Calibri" w:hAnsi="Times New Roman" w:cs="Times New Roman"/>
                <w:b/>
                <w:u w:val="single"/>
              </w:rPr>
            </w:pPr>
          </w:p>
          <w:p w:rsidR="005076EB" w:rsidRPr="00A5551F" w:rsidRDefault="005076EB" w:rsidP="005B702E">
            <w:pPr>
              <w:spacing w:after="0" w:line="276" w:lineRule="auto"/>
              <w:jc w:val="both"/>
              <w:rPr>
                <w:rFonts w:ascii="Times New Roman" w:eastAsia="Calibri" w:hAnsi="Times New Roman" w:cs="Times New Roman"/>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7B229D" w:rsidP="007B229D">
            <w:pPr>
              <w:spacing w:after="0" w:line="276" w:lineRule="auto"/>
              <w:jc w:val="both"/>
              <w:rPr>
                <w:rFonts w:ascii="Times New Roman" w:eastAsia="Calibri" w:hAnsi="Times New Roman" w:cs="Times New Roman"/>
              </w:rPr>
            </w:pPr>
            <w:r w:rsidRPr="007B229D">
              <w:rPr>
                <w:rFonts w:ascii="Times New Roman" w:eastAsia="Calibri" w:hAnsi="Times New Roman" w:cs="Times New Roman"/>
              </w:rPr>
              <w:t>Séminaire sur l’état des ressources de la Méditerranée et sur l’approche de la politique commune de la pêche (PCP)</w:t>
            </w: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5076EB" w:rsidRPr="00EA59FE" w:rsidRDefault="005076EB" w:rsidP="005B702E">
            <w:pPr>
              <w:spacing w:after="0" w:line="240" w:lineRule="auto"/>
              <w:jc w:val="both"/>
              <w:rPr>
                <w:rFonts w:ascii="Times New Roman" w:eastAsia="Calibri" w:hAnsi="Times New Roman" w:cs="Times New Roman"/>
                <w:sz w:val="24"/>
                <w:szCs w:val="24"/>
                <w:lang w:eastAsia="fr-BE"/>
              </w:rPr>
            </w:pPr>
          </w:p>
        </w:tc>
      </w:tr>
      <w:tr w:rsidR="005076EB" w:rsidRPr="00DF5F3B" w:rsidTr="005B702E">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Jeudi</w:t>
            </w:r>
          </w:p>
          <w:p w:rsidR="005076EB" w:rsidRPr="00DF5F3B" w:rsidRDefault="007B229D" w:rsidP="005B702E">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11</w:t>
            </w:r>
            <w:r w:rsidR="005076EB">
              <w:rPr>
                <w:rFonts w:ascii="Times New Roman" w:hAnsi="Times New Roman" w:cs="Times New Roman"/>
                <w:b/>
                <w:bCs/>
                <w:sz w:val="24"/>
                <w:szCs w:val="24"/>
                <w:lang w:eastAsia="fr-BE"/>
              </w:rPr>
              <w:t>/02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457007" w:rsidRDefault="005076EB" w:rsidP="005B702E">
            <w:pPr>
              <w:pStyle w:val="NormalWeb"/>
              <w:shd w:val="clear" w:color="auto" w:fill="FFFFFF"/>
              <w:spacing w:before="0" w:beforeAutospacing="0" w:after="0" w:afterAutospacing="0"/>
              <w:rPr>
                <w:b/>
                <w:iCs/>
                <w:sz w:val="22"/>
              </w:rPr>
            </w:pPr>
          </w:p>
          <w:p w:rsidR="005076EB" w:rsidRPr="00DF5F3B" w:rsidRDefault="005076EB" w:rsidP="007B229D">
            <w:pPr>
              <w:pStyle w:val="NormalWeb"/>
              <w:shd w:val="clear" w:color="auto" w:fill="FFFFFF"/>
              <w:spacing w:before="0" w:beforeAutospacing="0" w:after="0" w:afterAutospacing="0"/>
              <w:rPr>
                <w:b/>
                <w:iCs/>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hd w:val="clear" w:color="auto" w:fill="FFFFFF"/>
              <w:spacing w:after="0" w:line="240" w:lineRule="auto"/>
              <w:jc w:val="both"/>
              <w:outlineLvl w:val="3"/>
              <w:rPr>
                <w:rFonts w:ascii="Times New Roman" w:eastAsia="Calibri" w:hAnsi="Times New Roman" w:cs="Times New Roman"/>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rsidR="005076EB" w:rsidRPr="00EA59FE" w:rsidRDefault="005076EB" w:rsidP="005B702E">
            <w:pPr>
              <w:spacing w:after="0" w:line="276" w:lineRule="auto"/>
              <w:jc w:val="both"/>
              <w:rPr>
                <w:rFonts w:ascii="Times New Roman" w:eastAsia="Calibri" w:hAnsi="Times New Roman" w:cs="Times New Roman"/>
                <w:sz w:val="24"/>
                <w:szCs w:val="24"/>
              </w:rPr>
            </w:pPr>
          </w:p>
        </w:tc>
      </w:tr>
      <w:tr w:rsidR="005076EB" w:rsidRPr="00DF5F3B" w:rsidTr="005B702E">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rsidR="005076EB" w:rsidRPr="00DF5F3B" w:rsidRDefault="007B229D" w:rsidP="005B702E">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12</w:t>
            </w:r>
            <w:r w:rsidR="005076EB">
              <w:rPr>
                <w:rFonts w:ascii="Times New Roman" w:hAnsi="Times New Roman" w:cs="Times New Roman"/>
                <w:b/>
                <w:bCs/>
                <w:color w:val="000000"/>
                <w:sz w:val="24"/>
                <w:szCs w:val="24"/>
                <w:lang w:eastAsia="fr-BE"/>
              </w:rPr>
              <w:t>/02</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rsidR="005076EB" w:rsidRDefault="005076EB" w:rsidP="005B702E">
            <w:pPr>
              <w:spacing w:after="0" w:line="276" w:lineRule="auto"/>
              <w:jc w:val="both"/>
              <w:rPr>
                <w:rFonts w:ascii="Times New Roman" w:hAnsi="Times New Roman" w:cs="Times New Roman"/>
                <w:bCs/>
                <w:sz w:val="24"/>
                <w:szCs w:val="24"/>
                <w:lang w:eastAsia="fr-BE"/>
              </w:rPr>
            </w:pPr>
          </w:p>
          <w:p w:rsidR="005076EB" w:rsidRDefault="005076EB" w:rsidP="005B702E">
            <w:pPr>
              <w:spacing w:after="0" w:line="276" w:lineRule="auto"/>
              <w:jc w:val="both"/>
              <w:rPr>
                <w:rFonts w:ascii="Times New Roman" w:hAnsi="Times New Roman" w:cs="Times New Roman"/>
                <w:bCs/>
                <w:sz w:val="24"/>
                <w:szCs w:val="24"/>
                <w:lang w:eastAsia="fr-BE"/>
              </w:rPr>
            </w:pPr>
          </w:p>
          <w:p w:rsidR="005076EB" w:rsidRPr="00DF5F3B" w:rsidRDefault="005076EB" w:rsidP="005B702E">
            <w:pPr>
              <w:spacing w:after="0" w:line="276" w:lineRule="auto"/>
              <w:jc w:val="both"/>
              <w:rPr>
                <w:rFonts w:ascii="Times New Roman" w:hAnsi="Times New Roman" w:cs="Times New Roman"/>
                <w:bCs/>
                <w:sz w:val="24"/>
                <w:szCs w:val="24"/>
                <w:lang w:eastAsia="fr-BE"/>
              </w:rPr>
            </w:pPr>
          </w:p>
          <w:p w:rsidR="005076EB" w:rsidRPr="00DF5F3B" w:rsidRDefault="005076EB" w:rsidP="005B702E">
            <w:pPr>
              <w:spacing w:after="0" w:line="276" w:lineRule="auto"/>
              <w:jc w:val="both"/>
              <w:rPr>
                <w:rFonts w:ascii="Times New Roman" w:hAnsi="Times New Roman" w:cs="Times New Roman"/>
                <w:bCs/>
                <w:sz w:val="24"/>
                <w:szCs w:val="24"/>
                <w:lang w:eastAsia="fr-BE"/>
              </w:rPr>
            </w:pPr>
          </w:p>
        </w:tc>
        <w:tc>
          <w:tcPr>
            <w:tcW w:w="1134" w:type="pct"/>
            <w:tcBorders>
              <w:top w:val="nil"/>
              <w:left w:val="nil"/>
              <w:bottom w:val="nil"/>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spacing w:after="0" w:line="276" w:lineRule="auto"/>
              <w:jc w:val="both"/>
              <w:rPr>
                <w:rFonts w:ascii="Times New Roman" w:hAnsi="Times New Roman" w:cs="Times New Roman"/>
                <w:sz w:val="24"/>
                <w:szCs w:val="24"/>
                <w:lang w:eastAsia="fr-BE"/>
              </w:rPr>
            </w:pPr>
          </w:p>
        </w:tc>
        <w:tc>
          <w:tcPr>
            <w:tcW w:w="819" w:type="pct"/>
            <w:tcBorders>
              <w:top w:val="nil"/>
              <w:left w:val="nil"/>
              <w:bottom w:val="nil"/>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hAnsi="Times New Roman" w:cs="Times New Roman"/>
                <w:b/>
                <w:iCs/>
                <w:szCs w:val="24"/>
                <w:lang w:eastAsia="fr-BE"/>
              </w:rPr>
            </w:pPr>
          </w:p>
          <w:p w:rsidR="005076EB" w:rsidRPr="00DF5F3B" w:rsidRDefault="005076EB" w:rsidP="005B702E">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r>
      <w:tr w:rsidR="005076EB" w:rsidRPr="00DF5F3B" w:rsidTr="005B702E">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ind w:left="720"/>
              <w:jc w:val="both"/>
              <w:rPr>
                <w:rFonts w:ascii="Times New Roman" w:hAnsi="Times New Roman" w:cs="Times New Roman"/>
                <w:bCs/>
                <w:sz w:val="24"/>
                <w:szCs w:val="24"/>
                <w:lang w:eastAsia="fr-B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spacing w:after="0" w:line="276" w:lineRule="auto"/>
              <w:jc w:val="center"/>
              <w:rPr>
                <w:rFonts w:ascii="Times New Roman" w:hAnsi="Times New Roman" w:cs="Times New Roman"/>
                <w:b/>
                <w:sz w:val="24"/>
                <w:szCs w:val="24"/>
                <w:lang w:eastAsia="fr-BE"/>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r>
    </w:tbl>
    <w:p w:rsidR="005076EB" w:rsidRPr="00C9542C" w:rsidRDefault="005076EB" w:rsidP="005076EB">
      <w:pPr>
        <w:spacing w:after="0" w:line="240" w:lineRule="auto"/>
        <w:jc w:val="both"/>
        <w:rPr>
          <w:rFonts w:ascii="Times New Roman" w:eastAsia="Calibri" w:hAnsi="Times New Roman" w:cs="Times New Roman"/>
          <w:sz w:val="24"/>
          <w:szCs w:val="24"/>
        </w:rPr>
      </w:pPr>
    </w:p>
    <w:p w:rsidR="005076EB" w:rsidRDefault="005076EB" w:rsidP="005076EB"/>
    <w:p w:rsidR="005076EB" w:rsidRDefault="005076EB" w:rsidP="005076EB"/>
    <w:p w:rsidR="005076EB" w:rsidRDefault="005076EB" w:rsidP="005076EB"/>
    <w:p w:rsidR="00643132" w:rsidRDefault="00406112"/>
    <w:sectPr w:rsidR="006431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12" w:rsidRDefault="00406112" w:rsidP="005076EB">
      <w:pPr>
        <w:spacing w:after="0" w:line="240" w:lineRule="auto"/>
      </w:pPr>
      <w:r>
        <w:separator/>
      </w:r>
    </w:p>
  </w:endnote>
  <w:endnote w:type="continuationSeparator" w:id="0">
    <w:p w:rsidR="00406112" w:rsidRDefault="00406112" w:rsidP="0050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703A97" w:rsidRDefault="00E1480C" w:rsidP="00703A97">
        <w:pPr>
          <w:pStyle w:val="Pieddepage"/>
          <w:tabs>
            <w:tab w:val="left" w:pos="1980"/>
          </w:tabs>
        </w:pPr>
        <w:r>
          <w:tab/>
        </w:r>
        <w:r>
          <w:tab/>
        </w:r>
        <w:r>
          <w:tab/>
        </w:r>
        <w:r>
          <w:fldChar w:fldCharType="begin"/>
        </w:r>
        <w:r>
          <w:instrText>PAGE   \* MERGEFORMAT</w:instrText>
        </w:r>
        <w:r>
          <w:fldChar w:fldCharType="separate"/>
        </w:r>
        <w:r w:rsidR="004C5B3E" w:rsidRPr="004C5B3E">
          <w:rPr>
            <w:noProof/>
            <w:lang w:val="fr-FR"/>
          </w:rPr>
          <w:t>1</w:t>
        </w:r>
        <w:r>
          <w:fldChar w:fldCharType="end"/>
        </w:r>
      </w:p>
    </w:sdtContent>
  </w:sdt>
  <w:p w:rsidR="00703A97" w:rsidRPr="00CD7AF7" w:rsidRDefault="00E1480C" w:rsidP="00703A97">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5076EB">
      <w:rPr>
        <w:rFonts w:ascii="Times New Roman" w:hAnsi="Times New Roman" w:cs="Times New Roman"/>
        <w:b/>
        <w:color w:val="5B9BD5" w:themeColor="accent1"/>
        <w:sz w:val="16"/>
        <w:szCs w:val="16"/>
      </w:rPr>
      <w:t>1er</w:t>
    </w:r>
    <w:r>
      <w:rPr>
        <w:rFonts w:ascii="Times New Roman" w:hAnsi="Times New Roman" w:cs="Times New Roman"/>
        <w:b/>
        <w:color w:val="5B9BD5" w:themeColor="accent1"/>
        <w:sz w:val="16"/>
        <w:szCs w:val="16"/>
      </w:rPr>
      <w:t xml:space="preserve"> au </w:t>
    </w:r>
    <w:r w:rsidR="005076EB">
      <w:rPr>
        <w:rFonts w:ascii="Times New Roman" w:hAnsi="Times New Roman" w:cs="Times New Roman"/>
        <w:b/>
        <w:color w:val="5B9BD5" w:themeColor="accent1"/>
        <w:sz w:val="16"/>
        <w:szCs w:val="16"/>
      </w:rPr>
      <w:t>05</w:t>
    </w:r>
    <w:r>
      <w:rPr>
        <w:rFonts w:ascii="Times New Roman" w:hAnsi="Times New Roman" w:cs="Times New Roman"/>
        <w:b/>
        <w:color w:val="5B9BD5" w:themeColor="accent1"/>
        <w:sz w:val="16"/>
        <w:szCs w:val="16"/>
      </w:rPr>
      <w:t xml:space="preserve"> </w:t>
    </w:r>
    <w:r w:rsidR="005076EB">
      <w:rPr>
        <w:rFonts w:ascii="Times New Roman" w:hAnsi="Times New Roman" w:cs="Times New Roman"/>
        <w:b/>
        <w:color w:val="5B9BD5" w:themeColor="accent1"/>
        <w:sz w:val="16"/>
        <w:szCs w:val="16"/>
      </w:rPr>
      <w:t>février</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12" w:rsidRDefault="00406112" w:rsidP="005076EB">
      <w:pPr>
        <w:spacing w:after="0" w:line="240" w:lineRule="auto"/>
      </w:pPr>
      <w:r>
        <w:separator/>
      </w:r>
    </w:p>
  </w:footnote>
  <w:footnote w:type="continuationSeparator" w:id="0">
    <w:p w:rsidR="00406112" w:rsidRDefault="00406112" w:rsidP="00507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EB"/>
    <w:rsid w:val="000E683E"/>
    <w:rsid w:val="001D3B54"/>
    <w:rsid w:val="002B772B"/>
    <w:rsid w:val="002C06F6"/>
    <w:rsid w:val="002C6F94"/>
    <w:rsid w:val="00394EC1"/>
    <w:rsid w:val="00406112"/>
    <w:rsid w:val="004C0221"/>
    <w:rsid w:val="004C5B3E"/>
    <w:rsid w:val="005076EB"/>
    <w:rsid w:val="00543E1F"/>
    <w:rsid w:val="006B0898"/>
    <w:rsid w:val="007B229D"/>
    <w:rsid w:val="008B2A2E"/>
    <w:rsid w:val="008C3874"/>
    <w:rsid w:val="00977104"/>
    <w:rsid w:val="00BB5EBC"/>
    <w:rsid w:val="00C3530D"/>
    <w:rsid w:val="00CC29F4"/>
    <w:rsid w:val="00DB1443"/>
    <w:rsid w:val="00E1480C"/>
    <w:rsid w:val="00F903E0"/>
    <w:rsid w:val="00FD42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86589A-EA57-41CD-B469-5387E550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76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6EB"/>
  </w:style>
  <w:style w:type="paragraph" w:styleId="NormalWeb">
    <w:name w:val="Normal (Web)"/>
    <w:basedOn w:val="Normal"/>
    <w:uiPriority w:val="99"/>
    <w:unhideWhenUsed/>
    <w:rsid w:val="005076E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5076EB"/>
    <w:rPr>
      <w:color w:val="0563C1"/>
      <w:u w:val="single"/>
    </w:rPr>
  </w:style>
  <w:style w:type="paragraph" w:styleId="En-tte">
    <w:name w:val="header"/>
    <w:basedOn w:val="Normal"/>
    <w:link w:val="En-tteCar"/>
    <w:uiPriority w:val="99"/>
    <w:unhideWhenUsed/>
    <w:rsid w:val="005076EB"/>
    <w:pPr>
      <w:tabs>
        <w:tab w:val="center" w:pos="4536"/>
        <w:tab w:val="right" w:pos="9072"/>
      </w:tabs>
      <w:spacing w:after="0" w:line="240" w:lineRule="auto"/>
    </w:pPr>
  </w:style>
  <w:style w:type="character" w:customStyle="1" w:styleId="En-tteCar">
    <w:name w:val="En-tête Car"/>
    <w:basedOn w:val="Policepardfaut"/>
    <w:link w:val="En-tte"/>
    <w:uiPriority w:val="99"/>
    <w:rsid w:val="005076EB"/>
  </w:style>
  <w:style w:type="character" w:styleId="Marquedecommentaire">
    <w:name w:val="annotation reference"/>
    <w:basedOn w:val="Policepardfaut"/>
    <w:uiPriority w:val="99"/>
    <w:semiHidden/>
    <w:unhideWhenUsed/>
    <w:rsid w:val="000E683E"/>
    <w:rPr>
      <w:sz w:val="16"/>
      <w:szCs w:val="16"/>
    </w:rPr>
  </w:style>
  <w:style w:type="paragraph" w:styleId="Commentaire">
    <w:name w:val="annotation text"/>
    <w:basedOn w:val="Normal"/>
    <w:link w:val="CommentaireCar"/>
    <w:uiPriority w:val="99"/>
    <w:semiHidden/>
    <w:unhideWhenUsed/>
    <w:rsid w:val="000E683E"/>
    <w:pPr>
      <w:spacing w:line="240" w:lineRule="auto"/>
    </w:pPr>
    <w:rPr>
      <w:sz w:val="20"/>
      <w:szCs w:val="20"/>
    </w:rPr>
  </w:style>
  <w:style w:type="character" w:customStyle="1" w:styleId="CommentaireCar">
    <w:name w:val="Commentaire Car"/>
    <w:basedOn w:val="Policepardfaut"/>
    <w:link w:val="Commentaire"/>
    <w:uiPriority w:val="99"/>
    <w:semiHidden/>
    <w:rsid w:val="000E683E"/>
    <w:rPr>
      <w:sz w:val="20"/>
      <w:szCs w:val="20"/>
    </w:rPr>
  </w:style>
  <w:style w:type="paragraph" w:styleId="Objetducommentaire">
    <w:name w:val="annotation subject"/>
    <w:basedOn w:val="Commentaire"/>
    <w:next w:val="Commentaire"/>
    <w:link w:val="ObjetducommentaireCar"/>
    <w:uiPriority w:val="99"/>
    <w:semiHidden/>
    <w:unhideWhenUsed/>
    <w:rsid w:val="000E683E"/>
    <w:rPr>
      <w:b/>
      <w:bCs/>
    </w:rPr>
  </w:style>
  <w:style w:type="character" w:customStyle="1" w:styleId="ObjetducommentaireCar">
    <w:name w:val="Objet du commentaire Car"/>
    <w:basedOn w:val="CommentaireCar"/>
    <w:link w:val="Objetducommentaire"/>
    <w:uiPriority w:val="99"/>
    <w:semiHidden/>
    <w:rsid w:val="000E683E"/>
    <w:rPr>
      <w:b/>
      <w:bCs/>
      <w:sz w:val="20"/>
      <w:szCs w:val="20"/>
    </w:rPr>
  </w:style>
  <w:style w:type="paragraph" w:styleId="Textedebulles">
    <w:name w:val="Balloon Text"/>
    <w:basedOn w:val="Normal"/>
    <w:link w:val="TextedebullesCar"/>
    <w:uiPriority w:val="99"/>
    <w:semiHidden/>
    <w:unhideWhenUsed/>
    <w:rsid w:val="000E6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09325">
      <w:bodyDiv w:val="1"/>
      <w:marLeft w:val="0"/>
      <w:marRight w:val="0"/>
      <w:marTop w:val="0"/>
      <w:marBottom w:val="0"/>
      <w:divBdr>
        <w:top w:val="none" w:sz="0" w:space="0" w:color="auto"/>
        <w:left w:val="none" w:sz="0" w:space="0" w:color="auto"/>
        <w:bottom w:val="none" w:sz="0" w:space="0" w:color="auto"/>
        <w:right w:val="none" w:sz="0" w:space="0" w:color="auto"/>
      </w:divBdr>
    </w:div>
    <w:div w:id="710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Laura Deruaz</cp:lastModifiedBy>
  <cp:revision>2</cp:revision>
  <dcterms:created xsi:type="dcterms:W3CDTF">2016-02-12T08:16:00Z</dcterms:created>
  <dcterms:modified xsi:type="dcterms:W3CDTF">2016-02-12T08:16:00Z</dcterms:modified>
</cp:coreProperties>
</file>