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3E6C1" w14:textId="77777777" w:rsidR="00C9542C" w:rsidRPr="00C9542C" w:rsidRDefault="00C9542C" w:rsidP="00C9542C">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6430B35D" wp14:editId="3B5DE142">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B995AC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1B977F17" wp14:editId="1DF34E3A">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FEC232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1A0CDBBE" wp14:editId="7A56C53D">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7668035"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14:paraId="09482FC4" w14:textId="77777777" w:rsidR="00C9542C" w:rsidRPr="00C9542C" w:rsidRDefault="00C9542C" w:rsidP="00C9542C">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6DD99E5B" wp14:editId="509D0A29">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C51A34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14:paraId="315D27C7" w14:textId="77777777" w:rsidR="00C9542C" w:rsidRPr="00C9542C" w:rsidRDefault="00C9542C" w:rsidP="00C9542C">
      <w:pPr>
        <w:spacing w:after="200" w:line="276" w:lineRule="auto"/>
        <w:jc w:val="right"/>
        <w:rPr>
          <w:rFonts w:ascii="Times New Roman" w:eastAsia="Calibri" w:hAnsi="Times New Roman" w:cs="Times New Roman"/>
          <w:b/>
          <w:color w:val="0070C0"/>
          <w:sz w:val="24"/>
          <w:szCs w:val="24"/>
          <w:lang w:val="fr-FR"/>
        </w:rPr>
      </w:pPr>
    </w:p>
    <w:p w14:paraId="5DCBD243" w14:textId="77777777" w:rsidR="00C9542C" w:rsidRPr="00C9542C" w:rsidRDefault="00C9542C" w:rsidP="00C9542C">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14:paraId="6F4E2D6D" w14:textId="77777777" w:rsidR="00C9542C" w:rsidRPr="00C9542C" w:rsidRDefault="00C9542C" w:rsidP="00C9542C">
      <w:pPr>
        <w:spacing w:after="0" w:line="276" w:lineRule="auto"/>
        <w:rPr>
          <w:rFonts w:ascii="Calibri" w:eastAsia="Calibri" w:hAnsi="Calibri" w:cs="Times New Roman"/>
          <w:sz w:val="16"/>
          <w:szCs w:val="16"/>
          <w:lang w:val="fr-FR" w:eastAsia="fr-FR"/>
        </w:rPr>
      </w:pPr>
    </w:p>
    <w:p w14:paraId="2531ADAE" w14:textId="77777777" w:rsidR="00C9542C" w:rsidRPr="00C9542C" w:rsidRDefault="00C9542C" w:rsidP="00C9542C">
      <w:pPr>
        <w:spacing w:after="0" w:line="276" w:lineRule="auto"/>
        <w:rPr>
          <w:rFonts w:ascii="Calibri" w:eastAsia="Calibri" w:hAnsi="Calibri" w:cs="Times New Roman"/>
          <w:sz w:val="16"/>
          <w:szCs w:val="16"/>
          <w:lang w:val="fr-FR" w:eastAsia="fr-FR"/>
        </w:rPr>
      </w:pPr>
    </w:p>
    <w:p w14:paraId="7DE0A215" w14:textId="77777777" w:rsidR="00C9542C" w:rsidRPr="00C9542C" w:rsidRDefault="00C9542C" w:rsidP="00C9542C">
      <w:pPr>
        <w:spacing w:after="0" w:line="276" w:lineRule="auto"/>
        <w:rPr>
          <w:rFonts w:ascii="Calibri" w:eastAsia="Calibri" w:hAnsi="Calibri" w:cs="Times New Roman"/>
          <w:sz w:val="16"/>
          <w:szCs w:val="16"/>
          <w:lang w:val="fr-FR" w:eastAsia="fr-FR"/>
        </w:rPr>
      </w:pPr>
    </w:p>
    <w:p w14:paraId="2DB6F079" w14:textId="77777777" w:rsidR="00C9542C" w:rsidRPr="00C9542C" w:rsidRDefault="00C9542C" w:rsidP="00C9542C">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rPr>
      </w:pPr>
      <w:proofErr w:type="spellStart"/>
      <w:r w:rsidRPr="00C9542C">
        <w:rPr>
          <w:rFonts w:ascii="Baskerville Old Face" w:eastAsia="Calibri" w:hAnsi="Baskerville Old Face" w:cs="Times New Roman"/>
          <w:smallCaps/>
          <w:color w:val="333399"/>
          <w:sz w:val="48"/>
          <w:szCs w:val="40"/>
        </w:rPr>
        <w:t>InfoRup</w:t>
      </w:r>
      <w:proofErr w:type="spellEnd"/>
      <w:r w:rsidRPr="00C9542C">
        <w:rPr>
          <w:rFonts w:ascii="Baskerville Old Face" w:eastAsia="Calibri" w:hAnsi="Baskerville Old Face" w:cs="Times New Roman"/>
          <w:smallCaps/>
          <w:color w:val="333399"/>
          <w:sz w:val="48"/>
          <w:szCs w:val="40"/>
        </w:rPr>
        <w:t xml:space="preserve"> </w:t>
      </w:r>
    </w:p>
    <w:p w14:paraId="5E341AB6" w14:textId="77777777" w:rsidR="00C9542C" w:rsidRPr="00C9542C" w:rsidRDefault="00C9542C" w:rsidP="00C9542C">
      <w:pPr>
        <w:pBdr>
          <w:top w:val="double" w:sz="4" w:space="0" w:color="333399"/>
          <w:left w:val="double" w:sz="4" w:space="4" w:color="333399"/>
          <w:bottom w:val="double" w:sz="4" w:space="0" w:color="333399"/>
          <w:right w:val="double" w:sz="4" w:space="4" w:color="333399"/>
        </w:pBdr>
        <w:tabs>
          <w:tab w:val="left" w:pos="1120"/>
          <w:tab w:val="left" w:pos="6237"/>
        </w:tabs>
        <w:spacing w:after="0" w:line="276" w:lineRule="auto"/>
        <w:jc w:val="right"/>
        <w:rPr>
          <w:rFonts w:ascii="Baskerville Old Face" w:eastAsia="Calibri" w:hAnsi="Baskerville Old Face" w:cs="Times New Roman"/>
          <w:b/>
          <w:smallCaps/>
          <w:color w:val="5B9BD5" w:themeColor="accent1"/>
          <w:sz w:val="36"/>
          <w:szCs w:val="36"/>
        </w:rPr>
      </w:pPr>
      <w:r w:rsidRPr="00C9542C">
        <w:rPr>
          <w:rFonts w:ascii="Baskerville Old Face" w:eastAsia="Calibri" w:hAnsi="Baskerville Old Face" w:cs="Times New Roman"/>
          <w:b/>
          <w:color w:val="5B9BD5" w:themeColor="accent1"/>
          <w:sz w:val="36"/>
          <w:szCs w:val="36"/>
        </w:rPr>
        <w:t xml:space="preserve">Semaine du </w:t>
      </w:r>
      <w:r>
        <w:rPr>
          <w:rFonts w:ascii="Baskerville Old Face" w:eastAsia="Calibri" w:hAnsi="Baskerville Old Face" w:cs="Times New Roman"/>
          <w:b/>
          <w:color w:val="5B9BD5" w:themeColor="accent1"/>
          <w:sz w:val="36"/>
          <w:szCs w:val="36"/>
        </w:rPr>
        <w:t>26</w:t>
      </w:r>
      <w:r w:rsidRPr="00C9542C">
        <w:rPr>
          <w:rFonts w:ascii="Baskerville Old Face" w:eastAsia="Calibri" w:hAnsi="Baskerville Old Face" w:cs="Times New Roman"/>
          <w:b/>
          <w:color w:val="5B9BD5" w:themeColor="accent1"/>
          <w:sz w:val="36"/>
          <w:szCs w:val="36"/>
        </w:rPr>
        <w:t xml:space="preserve"> octobre au </w:t>
      </w:r>
      <w:r>
        <w:rPr>
          <w:rFonts w:ascii="Baskerville Old Face" w:eastAsia="Calibri" w:hAnsi="Baskerville Old Face" w:cs="Times New Roman"/>
          <w:b/>
          <w:color w:val="5B9BD5" w:themeColor="accent1"/>
          <w:sz w:val="36"/>
          <w:szCs w:val="36"/>
        </w:rPr>
        <w:t>30</w:t>
      </w:r>
      <w:r w:rsidRPr="00C9542C">
        <w:rPr>
          <w:rFonts w:ascii="Baskerville Old Face" w:eastAsia="Calibri" w:hAnsi="Baskerville Old Face" w:cs="Times New Roman"/>
          <w:b/>
          <w:color w:val="5B9BD5" w:themeColor="accent1"/>
          <w:sz w:val="36"/>
          <w:szCs w:val="36"/>
        </w:rPr>
        <w:t xml:space="preserve"> octobre 2015</w:t>
      </w:r>
    </w:p>
    <w:p w14:paraId="0FF1A045" w14:textId="77777777" w:rsidR="00C9542C" w:rsidRPr="00C9542C" w:rsidRDefault="00C9542C" w:rsidP="00DF5F3B">
      <w:pPr>
        <w:spacing w:after="0" w:line="240" w:lineRule="auto"/>
        <w:jc w:val="both"/>
        <w:rPr>
          <w:rFonts w:ascii="Times New Roman" w:eastAsia="Times New Roman" w:hAnsi="Times New Roman" w:cs="Times New Roman"/>
          <w:b/>
          <w:color w:val="5B9BD5" w:themeColor="accent1"/>
          <w:sz w:val="24"/>
          <w:szCs w:val="24"/>
        </w:rPr>
      </w:pPr>
    </w:p>
    <w:p w14:paraId="439E3CFA" w14:textId="77777777" w:rsidR="007C51C6" w:rsidRDefault="007C51C6" w:rsidP="00DF5F3B">
      <w:pPr>
        <w:spacing w:after="0" w:line="240" w:lineRule="auto"/>
        <w:jc w:val="both"/>
        <w:rPr>
          <w:rFonts w:ascii="Times New Roman" w:hAnsi="Times New Roman" w:cs="Times New Roman"/>
          <w:b/>
          <w:color w:val="5B9BD5" w:themeColor="accent1"/>
          <w:sz w:val="24"/>
          <w:szCs w:val="24"/>
        </w:rPr>
      </w:pPr>
    </w:p>
    <w:p w14:paraId="2896085B" w14:textId="49A27973" w:rsidR="00E767F6" w:rsidRPr="00897A04" w:rsidRDefault="00E767F6" w:rsidP="0099407C">
      <w:pPr>
        <w:jc w:val="both"/>
        <w:rPr>
          <w:rFonts w:ascii="Times New Roman" w:hAnsi="Times New Roman" w:cs="Times New Roman"/>
          <w:sz w:val="24"/>
          <w:szCs w:val="24"/>
        </w:rPr>
      </w:pPr>
      <w:r w:rsidRPr="00897A04">
        <w:rPr>
          <w:rFonts w:ascii="Times New Roman" w:hAnsi="Times New Roman" w:cs="Times New Roman"/>
          <w:b/>
          <w:color w:val="5B9BD5" w:themeColor="accent1"/>
          <w:sz w:val="24"/>
          <w:szCs w:val="24"/>
        </w:rPr>
        <w:t>QUESTION PARLEMENTAIRE ET REPONSE DE LA COMMISSION SUR LA PROTECTION DES RUP FACE AUX MENACES PHYTOSANITAIRES EN PROVENANCE DES PAYS TIERS :</w:t>
      </w:r>
      <w:r w:rsidRPr="00897A04">
        <w:rPr>
          <w:rFonts w:ascii="Times New Roman" w:hAnsi="Times New Roman" w:cs="Times New Roman"/>
          <w:sz w:val="24"/>
          <w:szCs w:val="24"/>
        </w:rPr>
        <w:t xml:space="preserve"> </w:t>
      </w:r>
      <w:r w:rsidR="0099407C" w:rsidRPr="0099407C">
        <w:rPr>
          <w:rFonts w:ascii="Times New Roman" w:hAnsi="Times New Roman" w:cs="Times New Roman"/>
          <w:sz w:val="24"/>
          <w:szCs w:val="24"/>
        </w:rPr>
        <w:t>Le 7 juillet 2015, l’eurodéputé Gabriel MATO (PPE/Espagne) avait interrogé la Commission sur les mesures prises dans le domaine phytosanitaire pour assurer la protection des RUP face aux dangers du soutien de l’UE aux productions des pays tiers. En effet, l'Union européenne soutient les pays tiers, en particulier situés à proximité des RUP, en les aidant à se mettre en conformité avec les normes sanitaires et phytosanitaires européennes.</w:t>
      </w:r>
      <w:r w:rsidR="0099407C">
        <w:rPr>
          <w:rFonts w:ascii="Times New Roman" w:hAnsi="Times New Roman" w:cs="Times New Roman"/>
          <w:sz w:val="24"/>
          <w:szCs w:val="24"/>
        </w:rPr>
        <w:t xml:space="preserve"> </w:t>
      </w:r>
      <w:r w:rsidRPr="00897A04">
        <w:rPr>
          <w:rFonts w:ascii="Times New Roman" w:hAnsi="Times New Roman" w:cs="Times New Roman"/>
          <w:sz w:val="24"/>
          <w:szCs w:val="24"/>
        </w:rPr>
        <w:t xml:space="preserve">Le 20 octobre dernier, le Commissaire européenne à la santé et à la sécurité alimentaire, Vytenis ANDRIUKAITIS, a apporté des éléments de réponse à ces questions. Dans </w:t>
      </w:r>
      <w:r w:rsidR="0099407C">
        <w:rPr>
          <w:rFonts w:ascii="Times New Roman" w:hAnsi="Times New Roman" w:cs="Times New Roman"/>
          <w:sz w:val="24"/>
          <w:szCs w:val="24"/>
        </w:rPr>
        <w:t xml:space="preserve">un </w:t>
      </w:r>
      <w:r w:rsidRPr="00897A04">
        <w:rPr>
          <w:rFonts w:ascii="Times New Roman" w:hAnsi="Times New Roman" w:cs="Times New Roman"/>
          <w:sz w:val="24"/>
          <w:szCs w:val="24"/>
        </w:rPr>
        <w:t>premier temps, le Commissaire a rappelé que la protection phytosanitair</w:t>
      </w:r>
      <w:r w:rsidR="002A5FBB">
        <w:rPr>
          <w:rFonts w:ascii="Times New Roman" w:hAnsi="Times New Roman" w:cs="Times New Roman"/>
          <w:sz w:val="24"/>
          <w:szCs w:val="24"/>
        </w:rPr>
        <w:t>e des RUP</w:t>
      </w:r>
      <w:r w:rsidRPr="00897A04">
        <w:rPr>
          <w:rFonts w:ascii="Times New Roman" w:hAnsi="Times New Roman" w:cs="Times New Roman"/>
          <w:sz w:val="24"/>
          <w:szCs w:val="24"/>
        </w:rPr>
        <w:t xml:space="preserve"> relève de la compétence des États membres concernés (France, Espagne et Portugal). Dans un second temps, il a précisé qu’en ce qui concerne le soutien financier de l'UE, la Commission peut cofinancer des programmes de mesures phytosanitaires et d'enquêtes dans</w:t>
      </w:r>
      <w:r w:rsidR="002A5FBB">
        <w:rPr>
          <w:rFonts w:ascii="Times New Roman" w:hAnsi="Times New Roman" w:cs="Times New Roman"/>
          <w:sz w:val="24"/>
          <w:szCs w:val="24"/>
        </w:rPr>
        <w:t xml:space="preserve"> les RUP</w:t>
      </w:r>
      <w:r w:rsidRPr="00897A04">
        <w:rPr>
          <w:rFonts w:ascii="Times New Roman" w:hAnsi="Times New Roman" w:cs="Times New Roman"/>
          <w:sz w:val="24"/>
          <w:szCs w:val="24"/>
        </w:rPr>
        <w:t xml:space="preserve">. Dans ce cadre, la Commission a </w:t>
      </w:r>
      <w:r w:rsidR="002A5FBB">
        <w:rPr>
          <w:rFonts w:ascii="Times New Roman" w:hAnsi="Times New Roman" w:cs="Times New Roman"/>
          <w:sz w:val="24"/>
          <w:szCs w:val="24"/>
        </w:rPr>
        <w:t>d’ailleurs octroyé 205 500 €</w:t>
      </w:r>
      <w:r w:rsidRPr="00897A04">
        <w:rPr>
          <w:rFonts w:ascii="Times New Roman" w:hAnsi="Times New Roman" w:cs="Times New Roman"/>
          <w:sz w:val="24"/>
          <w:szCs w:val="24"/>
        </w:rPr>
        <w:t xml:space="preserve"> à la France, </w:t>
      </w:r>
      <w:r w:rsidR="002A5FBB">
        <w:rPr>
          <w:rFonts w:ascii="Times New Roman" w:hAnsi="Times New Roman" w:cs="Times New Roman"/>
          <w:sz w:val="24"/>
          <w:szCs w:val="24"/>
        </w:rPr>
        <w:t>à l’Espagne et aux</w:t>
      </w:r>
      <w:r w:rsidRPr="00897A04">
        <w:rPr>
          <w:rFonts w:ascii="Times New Roman" w:hAnsi="Times New Roman" w:cs="Times New Roman"/>
          <w:sz w:val="24"/>
          <w:szCs w:val="24"/>
        </w:rPr>
        <w:t xml:space="preserve"> Portugal, ces deux derniers n’ayant quant à eux formulé aucune demande de co-financement. La Commission, en collaboration avec les États membres, suit, selon le Commissaire, les risques phytosanitaires émanant des pays tiers et, le cas échéant, prend les mesures appropriées pour limiter l'entrée des organismes nuisibles sur le territoire de l'Union. Différentes assistances techniques sanitaires et phytosanitaires sont offertes aux pays tiers. En 2014, l'UE a octroyé environ 152 millions d’euros à ces Etats, via des programmes sanitaires et phytosanitaires. </w:t>
      </w:r>
    </w:p>
    <w:p w14:paraId="1ECB541E" w14:textId="77777777" w:rsidR="00DF5F3B" w:rsidRPr="00897A04" w:rsidRDefault="00DF5F3B" w:rsidP="00DF5F3B">
      <w:pPr>
        <w:spacing w:after="0" w:line="240" w:lineRule="auto"/>
        <w:jc w:val="both"/>
        <w:rPr>
          <w:rFonts w:ascii="Times New Roman" w:hAnsi="Times New Roman" w:cs="Times New Roman"/>
          <w:sz w:val="24"/>
          <w:szCs w:val="24"/>
        </w:rPr>
      </w:pPr>
    </w:p>
    <w:p w14:paraId="7966BA31" w14:textId="7C315245" w:rsidR="00DF5F3B" w:rsidRPr="00897A04" w:rsidRDefault="00DF5F3B" w:rsidP="00DF5F3B">
      <w:pPr>
        <w:spacing w:after="0" w:line="240" w:lineRule="auto"/>
        <w:jc w:val="both"/>
        <w:rPr>
          <w:rFonts w:ascii="Times New Roman" w:hAnsi="Times New Roman" w:cs="Times New Roman"/>
          <w:b/>
          <w:color w:val="5B9BD5" w:themeColor="accent1"/>
          <w:sz w:val="24"/>
          <w:szCs w:val="24"/>
        </w:rPr>
      </w:pPr>
      <w:r w:rsidRPr="00897A04">
        <w:rPr>
          <w:rFonts w:ascii="Times New Roman" w:hAnsi="Times New Roman" w:cs="Times New Roman"/>
          <w:b/>
          <w:color w:val="5B9BD5" w:themeColor="accent1"/>
          <w:sz w:val="24"/>
          <w:szCs w:val="24"/>
        </w:rPr>
        <w:t xml:space="preserve">PUBLICATION D’UNE ÉTUDE SUR LA PÊCHE À LA RÉUNION : </w:t>
      </w:r>
      <w:r w:rsidRPr="00897A04">
        <w:rPr>
          <w:rFonts w:ascii="Times New Roman" w:hAnsi="Times New Roman" w:cs="Times New Roman"/>
          <w:sz w:val="24"/>
          <w:szCs w:val="24"/>
        </w:rPr>
        <w:t>Dans le cadre du déplacement des eurodéputés à La Réunion la semaine prochaine, la Direction Général</w:t>
      </w:r>
      <w:r w:rsidR="002A5FBB">
        <w:rPr>
          <w:rFonts w:ascii="Times New Roman" w:hAnsi="Times New Roman" w:cs="Times New Roman"/>
          <w:sz w:val="24"/>
          <w:szCs w:val="24"/>
        </w:rPr>
        <w:t xml:space="preserve">e des Politiques Internes du Parlement européen </w:t>
      </w:r>
      <w:r w:rsidRPr="00897A04">
        <w:rPr>
          <w:rFonts w:ascii="Times New Roman" w:hAnsi="Times New Roman" w:cs="Times New Roman"/>
          <w:sz w:val="24"/>
          <w:szCs w:val="24"/>
        </w:rPr>
        <w:t xml:space="preserve">a rendu publique une étude sur « </w:t>
      </w:r>
      <w:r w:rsidRPr="00897A04">
        <w:rPr>
          <w:rFonts w:ascii="Times New Roman" w:hAnsi="Times New Roman" w:cs="Times New Roman"/>
          <w:i/>
          <w:sz w:val="24"/>
          <w:szCs w:val="24"/>
        </w:rPr>
        <w:t>la Pêche à La Réunion</w:t>
      </w:r>
      <w:r w:rsidRPr="00897A04">
        <w:rPr>
          <w:rFonts w:ascii="Times New Roman" w:hAnsi="Times New Roman" w:cs="Times New Roman"/>
          <w:sz w:val="24"/>
          <w:szCs w:val="24"/>
        </w:rPr>
        <w:t xml:space="preserve"> ». Cette étude reprend en partie, celle déjà publiée au mois de juin dernier sur « </w:t>
      </w:r>
      <w:r w:rsidRPr="00897A04">
        <w:rPr>
          <w:rFonts w:ascii="Times New Roman" w:hAnsi="Times New Roman" w:cs="Times New Roman"/>
          <w:i/>
          <w:sz w:val="24"/>
          <w:szCs w:val="24"/>
        </w:rPr>
        <w:t>les pêcheries pélagiques et l'industrie de la conserve dans les RUP</w:t>
      </w:r>
      <w:r w:rsidRPr="00897A04">
        <w:rPr>
          <w:rFonts w:ascii="Times New Roman" w:hAnsi="Times New Roman" w:cs="Times New Roman"/>
          <w:sz w:val="24"/>
          <w:szCs w:val="24"/>
        </w:rPr>
        <w:t xml:space="preserve"> ». L’étude sur La Réunion se compose d’une présentation générale des caractéristiques de l’île de La Réunion, de Mayotte et des Seychelles et il est ensuite détaillé les mesures stratégiques de soutien à la filière pêche. Ces mesures se déclinent sous trois aspects. Tout d’abord,  il est précisé que les mesures de soutien </w:t>
      </w:r>
      <w:r w:rsidRPr="00897A04">
        <w:rPr>
          <w:rFonts w:ascii="Times New Roman" w:hAnsi="Times New Roman" w:cs="Times New Roman"/>
          <w:sz w:val="24"/>
          <w:szCs w:val="24"/>
        </w:rPr>
        <w:lastRenderedPageBreak/>
        <w:t>aux interventions sur le marché du thon sont règlementées par le Règlement (UE) n° 1379/2013 portant organisation commune des marchés dans le secteur des produits de la pêche et de l'aquaculture. Celui-ci remplace le précédent dispositif en</w:t>
      </w:r>
      <w:r w:rsidR="002A5FBB">
        <w:rPr>
          <w:rFonts w:ascii="Times New Roman" w:hAnsi="Times New Roman" w:cs="Times New Roman"/>
          <w:sz w:val="24"/>
          <w:szCs w:val="24"/>
        </w:rPr>
        <w:t xml:space="preserve"> vigueur depuis 2000. Ensuite</w:t>
      </w:r>
      <w:r w:rsidRPr="00897A04">
        <w:rPr>
          <w:rFonts w:ascii="Times New Roman" w:hAnsi="Times New Roman" w:cs="Times New Roman"/>
          <w:sz w:val="24"/>
          <w:szCs w:val="24"/>
        </w:rPr>
        <w:t>, il est détaillé que le soutien de l'UE à l'investissement en faveur du développement économique est rendu possible depuis 1992. Néanmoins depuis 2009, la construction de nouveaux navires n'est plus couverte par les financements de l'UE.  D’où la nécessité de la mission parlementaire et d’un éventuel Rapport d’initiative sur ce sujet. Enfin, la mise en œuvre du régime de compensation pour les RUP se traduit par le Règlement (CE) n° 791/2007, or sur ce point le FEAMP vient justement remplacer cette législation. Par ailleurs, l’étude met l’accent sur l’importance de l'accès aux matières premières importées pour les pêcheries réunionnaises. Il est expliqué que les flottes thonières des RUP ne sont pas en mesure de satisfaire pleinement aux besoins de leurs ét</w:t>
      </w:r>
      <w:r w:rsidR="002A5FBB">
        <w:rPr>
          <w:rFonts w:ascii="Times New Roman" w:hAnsi="Times New Roman" w:cs="Times New Roman"/>
          <w:sz w:val="24"/>
          <w:szCs w:val="24"/>
        </w:rPr>
        <w:t>ablissements de transformation.</w:t>
      </w:r>
      <w:r w:rsidRPr="00897A04">
        <w:rPr>
          <w:rFonts w:ascii="Times New Roman" w:hAnsi="Times New Roman" w:cs="Times New Roman"/>
          <w:sz w:val="24"/>
          <w:szCs w:val="24"/>
        </w:rPr>
        <w:t xml:space="preserve"> La distribution géographique des captures ne permet pas de couvrir directement la capacité de transformation, d’où la nécessité de recourir à l’importation. Là aussi, ce point sera à l’étude lors de la mission parlementaire, puisqu’il est prévu une sensibilisation des députés sur le sujet du poisson importé.</w:t>
      </w:r>
    </w:p>
    <w:p w14:paraId="7501EBF3" w14:textId="77777777" w:rsidR="00DF5F3B" w:rsidRPr="00897A04" w:rsidRDefault="00DF5F3B" w:rsidP="00DF5F3B">
      <w:pPr>
        <w:spacing w:after="0" w:line="240" w:lineRule="auto"/>
        <w:jc w:val="both"/>
        <w:rPr>
          <w:rFonts w:ascii="Times New Roman" w:hAnsi="Times New Roman" w:cs="Times New Roman"/>
          <w:sz w:val="24"/>
          <w:szCs w:val="24"/>
        </w:rPr>
      </w:pPr>
    </w:p>
    <w:p w14:paraId="36B57109" w14:textId="05F72112" w:rsidR="005F6BB0" w:rsidRPr="00897A04" w:rsidRDefault="005F6BB0" w:rsidP="005F6BB0">
      <w:pPr>
        <w:spacing w:after="0" w:line="240" w:lineRule="auto"/>
        <w:jc w:val="both"/>
        <w:rPr>
          <w:rFonts w:ascii="Times New Roman" w:hAnsi="Times New Roman" w:cs="Times New Roman"/>
          <w:sz w:val="24"/>
          <w:szCs w:val="24"/>
        </w:rPr>
      </w:pPr>
      <w:r w:rsidRPr="00897A04">
        <w:rPr>
          <w:rFonts w:ascii="Times New Roman" w:hAnsi="Times New Roman" w:cs="Times New Roman"/>
          <w:b/>
          <w:color w:val="5B9BD5" w:themeColor="accent1"/>
          <w:sz w:val="24"/>
          <w:szCs w:val="24"/>
        </w:rPr>
        <w:t>MOBILISATION DE PLUS D’UN MILLIARD D’EUROS POUR LES PETITES ENTREPRISES EUROPÉENNES :</w:t>
      </w:r>
      <w:r w:rsidRPr="00897A04">
        <w:rPr>
          <w:rFonts w:ascii="Times New Roman" w:eastAsia="Calibri" w:hAnsi="Times New Roman" w:cs="Times New Roman"/>
          <w:color w:val="5B9BD5" w:themeColor="accent1"/>
          <w:sz w:val="24"/>
          <w:szCs w:val="24"/>
        </w:rPr>
        <w:t xml:space="preserve"> </w:t>
      </w:r>
      <w:r w:rsidRPr="00897A04">
        <w:rPr>
          <w:rFonts w:ascii="Times New Roman" w:hAnsi="Times New Roman" w:cs="Times New Roman"/>
          <w:sz w:val="24"/>
          <w:szCs w:val="24"/>
        </w:rPr>
        <w:t>Depuis le début de l’année, des accords d’investissement de plus d’un milliard d’euros ont été signés entre le Fonds européen d’investissement (FEI) et les fonds d’actions à travers l’Europe. Ce milliard d’euros vise à apporter des </w:t>
      </w:r>
      <w:hyperlink r:id="rId7" w:history="1">
        <w:r w:rsidRPr="00897A04">
          <w:rPr>
            <w:rFonts w:ascii="Times New Roman" w:hAnsi="Times New Roman" w:cs="Times New Roman"/>
            <w:sz w:val="24"/>
            <w:szCs w:val="24"/>
          </w:rPr>
          <w:t>financements sur fonds propres aux entreprises</w:t>
        </w:r>
      </w:hyperlink>
      <w:r w:rsidRPr="00897A04">
        <w:rPr>
          <w:rFonts w:ascii="Times New Roman" w:hAnsi="Times New Roman" w:cs="Times New Roman"/>
          <w:sz w:val="24"/>
          <w:szCs w:val="24"/>
        </w:rPr>
        <w:t>. Vingt-huit opérations bénéficient, d’ores et déjà, du soutien du Fonds européen pour les investissements stratégiques (FEIS), bras financier du </w:t>
      </w:r>
      <w:hyperlink r:id="rId8" w:history="1">
        <w:r w:rsidRPr="00897A04">
          <w:rPr>
            <w:rFonts w:ascii="Times New Roman" w:hAnsi="Times New Roman" w:cs="Times New Roman"/>
            <w:sz w:val="24"/>
            <w:szCs w:val="24"/>
          </w:rPr>
          <w:t xml:space="preserve">Plan </w:t>
        </w:r>
        <w:r w:rsidR="001F2160" w:rsidRPr="00897A04">
          <w:rPr>
            <w:rFonts w:ascii="Times New Roman" w:hAnsi="Times New Roman" w:cs="Times New Roman"/>
            <w:sz w:val="24"/>
            <w:szCs w:val="24"/>
          </w:rPr>
          <w:t>JUNCKER</w:t>
        </w:r>
      </w:hyperlink>
      <w:r w:rsidRPr="00897A04">
        <w:rPr>
          <w:rFonts w:ascii="Times New Roman" w:hAnsi="Times New Roman" w:cs="Times New Roman"/>
          <w:sz w:val="24"/>
          <w:szCs w:val="24"/>
        </w:rPr>
        <w:t xml:space="preserve"> (Plan d’investissement pour l’Europe). Les nouveaux accords permettent aux gestionnaires de fonds d’investir dans de jeunes entreprises, des PME et des entreprises de capitalisation moyenne prometteuses, en leur accordant rapidement du capital de démarrage et du capital de croissance. En mobilisant d’autres investisseurs, y compris des fonds du secteur privé, les investissements devraient atteindre une valeur totale de plus de 12 milliards d’euros. De nombreuses entreprises devraient pouvoir bénéficier durant les prochains mois d’un soutien financier au titre du FEIS. Les ressources, dans le cadre du volet «PME» du Fonds européen pour les investissements stratégiques, ont été déployées à la suite d’une augmentation importante du mandat de la Banque Européenne d’Investissement concernant le capital-risque utilisé pour les financements sur fonds propres et géré par le FEI. Le Plan </w:t>
      </w:r>
      <w:r w:rsidR="001F2160" w:rsidRPr="00897A04">
        <w:rPr>
          <w:rFonts w:ascii="Times New Roman" w:hAnsi="Times New Roman" w:cs="Times New Roman"/>
          <w:sz w:val="24"/>
          <w:szCs w:val="24"/>
        </w:rPr>
        <w:t>JUNCKER</w:t>
      </w:r>
      <w:r w:rsidRPr="00897A04">
        <w:rPr>
          <w:rFonts w:ascii="Times New Roman" w:hAnsi="Times New Roman" w:cs="Times New Roman"/>
          <w:sz w:val="24"/>
          <w:szCs w:val="24"/>
        </w:rPr>
        <w:t xml:space="preserve">, qui vise à fournir les instruments financiers que le marché actuel ne propose pas, peut également être mobilisé  par les PME des RUP dans la mesure où elles souffrent d’un manque de financements sur fonds propres souvent significatif. </w:t>
      </w:r>
    </w:p>
    <w:p w14:paraId="69BE2774" w14:textId="77777777" w:rsidR="005F6BB0" w:rsidRPr="00897A04" w:rsidRDefault="005F6BB0" w:rsidP="005F6BB0">
      <w:pPr>
        <w:spacing w:after="0" w:line="240" w:lineRule="auto"/>
        <w:jc w:val="both"/>
        <w:rPr>
          <w:rFonts w:ascii="Times New Roman" w:hAnsi="Times New Roman" w:cs="Times New Roman"/>
          <w:sz w:val="24"/>
          <w:szCs w:val="24"/>
        </w:rPr>
      </w:pPr>
    </w:p>
    <w:p w14:paraId="4CE404A7" w14:textId="4A3E4D7B" w:rsidR="00762339" w:rsidRPr="00897A04" w:rsidRDefault="000B01FD" w:rsidP="002A5FBB">
      <w:pPr>
        <w:jc w:val="both"/>
        <w:rPr>
          <w:rFonts w:ascii="Times New Roman" w:hAnsi="Times New Roman" w:cs="Times New Roman"/>
          <w:sz w:val="24"/>
          <w:szCs w:val="24"/>
        </w:rPr>
      </w:pPr>
      <w:r w:rsidRPr="00897A04">
        <w:rPr>
          <w:rFonts w:ascii="Times New Roman" w:hAnsi="Times New Roman" w:cs="Times New Roman"/>
          <w:b/>
          <w:color w:val="5B9BD5" w:themeColor="accent1"/>
          <w:sz w:val="24"/>
          <w:szCs w:val="24"/>
        </w:rPr>
        <w:t xml:space="preserve">PUBLICATION D’UNE ETUDE PAR LA DIRECTION GENERALE DES POLITIQUES INTERNES DU PARLEMENT EUROPEEN SUR </w:t>
      </w:r>
      <w:r w:rsidR="003A7981" w:rsidRPr="00897A04">
        <w:rPr>
          <w:rFonts w:ascii="Times New Roman" w:hAnsi="Times New Roman" w:cs="Times New Roman"/>
          <w:b/>
          <w:color w:val="5B9BD5" w:themeColor="accent1"/>
          <w:sz w:val="24"/>
          <w:szCs w:val="24"/>
        </w:rPr>
        <w:t>L’AGRICULTURE DES AÇ</w:t>
      </w:r>
      <w:r w:rsidRPr="00897A04">
        <w:rPr>
          <w:rFonts w:ascii="Times New Roman" w:hAnsi="Times New Roman" w:cs="Times New Roman"/>
          <w:b/>
          <w:color w:val="5B9BD5" w:themeColor="accent1"/>
          <w:sz w:val="24"/>
          <w:szCs w:val="24"/>
        </w:rPr>
        <w:t>ORES :</w:t>
      </w:r>
      <w:r w:rsidRPr="00897A04">
        <w:rPr>
          <w:rFonts w:ascii="Times New Roman" w:hAnsi="Times New Roman" w:cs="Times New Roman"/>
          <w:color w:val="5B9BD5" w:themeColor="accent1"/>
          <w:sz w:val="24"/>
          <w:szCs w:val="24"/>
        </w:rPr>
        <w:t xml:space="preserve"> </w:t>
      </w:r>
      <w:r w:rsidRPr="00897A04">
        <w:rPr>
          <w:rFonts w:ascii="Times New Roman" w:hAnsi="Times New Roman" w:cs="Times New Roman"/>
          <w:sz w:val="24"/>
          <w:szCs w:val="24"/>
        </w:rPr>
        <w:t>Ce document a été publié en septembre 2015 à la demande de la commission de l’agriculture et du développement rural du Parlement européen, en vue de la visite de sa délégati</w:t>
      </w:r>
      <w:r w:rsidR="001F2160">
        <w:rPr>
          <w:rFonts w:ascii="Times New Roman" w:hAnsi="Times New Roman" w:cs="Times New Roman"/>
          <w:sz w:val="24"/>
          <w:szCs w:val="24"/>
        </w:rPr>
        <w:t>on aux Açores</w:t>
      </w:r>
      <w:r w:rsidRPr="00897A04">
        <w:rPr>
          <w:rFonts w:ascii="Times New Roman" w:hAnsi="Times New Roman" w:cs="Times New Roman"/>
          <w:sz w:val="24"/>
          <w:szCs w:val="24"/>
        </w:rPr>
        <w:t xml:space="preserve"> prévue pour novembre 2015. L’étude commence par présenter la situation démographique, économique, politique et agricole des îles avant d’établir un bilan des programmes de développement rural et de soutien à l’agriculture existants. En effet, ces îles portugaises en tant</w:t>
      </w:r>
      <w:r w:rsidR="001F2160">
        <w:rPr>
          <w:rFonts w:ascii="Times New Roman" w:hAnsi="Times New Roman" w:cs="Times New Roman"/>
          <w:sz w:val="24"/>
          <w:szCs w:val="24"/>
        </w:rPr>
        <w:t xml:space="preserve"> que RUP </w:t>
      </w:r>
      <w:r w:rsidRPr="00897A04">
        <w:rPr>
          <w:rFonts w:ascii="Times New Roman" w:hAnsi="Times New Roman" w:cs="Times New Roman"/>
          <w:sz w:val="24"/>
          <w:szCs w:val="24"/>
        </w:rPr>
        <w:t xml:space="preserve">bénéficient dans le cadre du POSEI d’un régime spécifique d’approvisionnement ainsi que de mesures spécifiques en faveur de produits agricoles locaux. </w:t>
      </w:r>
      <w:r w:rsidR="00762339" w:rsidRPr="00897A04">
        <w:rPr>
          <w:rFonts w:ascii="Times New Roman" w:hAnsi="Times New Roman" w:cs="Times New Roman"/>
          <w:sz w:val="24"/>
          <w:szCs w:val="24"/>
        </w:rPr>
        <w:t>Concernant les filières de productions, le rapport souligne l’importance str</w:t>
      </w:r>
      <w:r w:rsidR="009D147C" w:rsidRPr="00897A04">
        <w:rPr>
          <w:rFonts w:ascii="Times New Roman" w:hAnsi="Times New Roman" w:cs="Times New Roman"/>
          <w:sz w:val="24"/>
          <w:szCs w:val="24"/>
        </w:rPr>
        <w:t>atégique de la filière laitière</w:t>
      </w:r>
      <w:r w:rsidR="00762339" w:rsidRPr="00897A04">
        <w:rPr>
          <w:rFonts w:ascii="Times New Roman" w:hAnsi="Times New Roman" w:cs="Times New Roman"/>
          <w:sz w:val="24"/>
          <w:szCs w:val="24"/>
        </w:rPr>
        <w:t xml:space="preserve"> des Açores, importance liée au cheptel de vaches laitières (89 000 vaches) et l’importance des exportations de lait et de produits laitiers de cette région vers le Portugal continental. En outre, le rapport souligne la part importante du secteur primaire dans l’économie </w:t>
      </w:r>
      <w:r w:rsidR="00762339" w:rsidRPr="00897A04">
        <w:rPr>
          <w:rFonts w:ascii="Times New Roman" w:hAnsi="Times New Roman" w:cs="Times New Roman"/>
          <w:sz w:val="24"/>
          <w:szCs w:val="24"/>
        </w:rPr>
        <w:lastRenderedPageBreak/>
        <w:t xml:space="preserve">des Açores par rapport au reste de l’économie portugaise. Ainsi, le secteur agricole représente 9.3%  de la valeur ajoutée brute et 11.6% des emplois dans les Açores, contre respectivement 2.2% et 8.6% pour le Portugal continental. Cette étude est accessible sur le lien suivant : </w:t>
      </w:r>
      <w:hyperlink r:id="rId9" w:history="1">
        <w:r w:rsidR="00762339" w:rsidRPr="00897A04">
          <w:rPr>
            <w:rStyle w:val="Lienhypertexte"/>
            <w:rFonts w:ascii="Times New Roman" w:hAnsi="Times New Roman" w:cs="Times New Roman"/>
            <w:sz w:val="24"/>
            <w:szCs w:val="24"/>
          </w:rPr>
          <w:t>http://www.europarl.europa.eu/RegData/etudes/STUD/2015/567667/IPOL_STU(2015)567667_FR.pdf</w:t>
        </w:r>
      </w:hyperlink>
    </w:p>
    <w:p w14:paraId="62935A33" w14:textId="77777777" w:rsidR="00DF5F3B" w:rsidRPr="00897A04" w:rsidRDefault="00DF5F3B" w:rsidP="00DF5F3B">
      <w:pPr>
        <w:spacing w:after="0" w:line="240" w:lineRule="auto"/>
        <w:jc w:val="both"/>
        <w:rPr>
          <w:rFonts w:ascii="Times New Roman" w:hAnsi="Times New Roman" w:cs="Times New Roman"/>
          <w:sz w:val="24"/>
          <w:szCs w:val="24"/>
        </w:rPr>
      </w:pPr>
    </w:p>
    <w:p w14:paraId="49F84712" w14:textId="6C75B666" w:rsidR="00DF5F3B" w:rsidRPr="00897A04" w:rsidRDefault="001C4E53" w:rsidP="00DF5F3B">
      <w:pPr>
        <w:spacing w:after="0" w:line="240" w:lineRule="auto"/>
        <w:jc w:val="both"/>
        <w:rPr>
          <w:rFonts w:ascii="Times New Roman" w:hAnsi="Times New Roman" w:cs="Times New Roman"/>
          <w:sz w:val="24"/>
          <w:szCs w:val="24"/>
        </w:rPr>
      </w:pPr>
      <w:r w:rsidRPr="00897A04">
        <w:rPr>
          <w:rFonts w:ascii="Times New Roman" w:hAnsi="Times New Roman" w:cs="Times New Roman"/>
          <w:b/>
          <w:color w:val="5B9BD5" w:themeColor="accent1"/>
          <w:sz w:val="24"/>
          <w:szCs w:val="24"/>
        </w:rPr>
        <w:t>COMMUNIQUÉ DE PRESSE DE LA COMMISSION SUR LES RÉSULTATS DU 11ÈME ROUND DE NÉGOCIATIONS SUR LE TTIP :</w:t>
      </w:r>
      <w:r w:rsidRPr="00897A04">
        <w:rPr>
          <w:rFonts w:ascii="Times New Roman" w:hAnsi="Times New Roman" w:cs="Times New Roman"/>
          <w:sz w:val="24"/>
          <w:szCs w:val="24"/>
        </w:rPr>
        <w:t xml:space="preserve"> Le 11ème round de négociations sur le TTIP s’est déro</w:t>
      </w:r>
      <w:r w:rsidR="00C1611E">
        <w:rPr>
          <w:rFonts w:ascii="Times New Roman" w:hAnsi="Times New Roman" w:cs="Times New Roman"/>
          <w:sz w:val="24"/>
          <w:szCs w:val="24"/>
        </w:rPr>
        <w:t>ulé à Miami du 19 au 23 octobre 2015</w:t>
      </w:r>
      <w:r w:rsidRPr="00897A04">
        <w:rPr>
          <w:rFonts w:ascii="Times New Roman" w:hAnsi="Times New Roman" w:cs="Times New Roman"/>
          <w:sz w:val="24"/>
          <w:szCs w:val="24"/>
        </w:rPr>
        <w:t xml:space="preserve">. Selon un communiqué de presse publié par la Commission, des progrès substantiels ont été obtenus en matière d’accès aux marchés pour les entreprises européennes et américaines. Les parties ont en effet échangé leur deuxième échange d’offre ce qui a permis aux négociateurs européens et américains d’aboutir à un projet couvrant un grand nombre de lignes tarifaires en nombre comparable des deux côtés </w:t>
      </w:r>
      <w:r w:rsidR="00C1611E">
        <w:rPr>
          <w:rFonts w:ascii="Times New Roman" w:hAnsi="Times New Roman" w:cs="Times New Roman"/>
          <w:sz w:val="24"/>
          <w:szCs w:val="24"/>
        </w:rPr>
        <w:t xml:space="preserve">de la table des négociations. </w:t>
      </w:r>
      <w:r w:rsidRPr="00897A04">
        <w:rPr>
          <w:rFonts w:ascii="Times New Roman" w:hAnsi="Times New Roman" w:cs="Times New Roman"/>
          <w:sz w:val="24"/>
          <w:szCs w:val="24"/>
        </w:rPr>
        <w:t>Ignacio GARCIA BERCERO, négociateur en chef pour l’UE, s’en félicite et souligne que c’est une étape importante du processus de négociation, car l’objectif final est d’éliminer la plus</w:t>
      </w:r>
      <w:r w:rsidR="00C1611E">
        <w:rPr>
          <w:rFonts w:ascii="Times New Roman" w:hAnsi="Times New Roman" w:cs="Times New Roman"/>
          <w:sz w:val="24"/>
          <w:szCs w:val="24"/>
        </w:rPr>
        <w:t xml:space="preserve"> part des barrières tarifaires.</w:t>
      </w:r>
      <w:r w:rsidRPr="00897A04">
        <w:rPr>
          <w:rFonts w:ascii="Times New Roman" w:hAnsi="Times New Roman" w:cs="Times New Roman"/>
          <w:sz w:val="24"/>
          <w:szCs w:val="24"/>
        </w:rPr>
        <w:t xml:space="preserve"> Des propositions sur les règles d’origine ont également été faites et la question de la coopération en matière réglementaire a fait l’objet d’importantes discussions. Comme le prévoit la nouvelle stratégie commerciale de l’UE présentée la semaine dernière par la Commissaire MALMSTRÖM, les négociateurs de l’UE ont insisté sur le fait qu’une coopération réglementaire ne sera possible que dans la mesure où le niveau de protection des consommateurs actuellement assuré au sein de l’UE ne sera pas diminué du fait de l’accord. Les règles en matière d’accès à l’énergie, de concurrence et de facilitation au commerce ont également été abordées au cours de la semaine. Enfin, afin de respecter sa nouvelle politique de transparence, la Commission publiera un rapport détaillé de ce 11ème de négociation au début du mois de novembre.</w:t>
      </w:r>
      <w:r w:rsidR="00DF5F3B" w:rsidRPr="00897A04">
        <w:rPr>
          <w:rFonts w:ascii="Times New Roman" w:hAnsi="Times New Roman" w:cs="Times New Roman"/>
          <w:sz w:val="24"/>
          <w:szCs w:val="24"/>
        </w:rPr>
        <w:t xml:space="preserve"> </w:t>
      </w:r>
    </w:p>
    <w:p w14:paraId="54CB50A2" w14:textId="77777777" w:rsidR="00DF5F3B" w:rsidRPr="00897A04" w:rsidRDefault="00DF5F3B" w:rsidP="00DF5F3B">
      <w:pPr>
        <w:spacing w:after="0" w:line="240" w:lineRule="auto"/>
        <w:jc w:val="both"/>
        <w:rPr>
          <w:rFonts w:ascii="Times New Roman" w:hAnsi="Times New Roman" w:cs="Times New Roman"/>
          <w:sz w:val="24"/>
          <w:szCs w:val="24"/>
        </w:rPr>
      </w:pPr>
    </w:p>
    <w:p w14:paraId="16E1418D" w14:textId="77777777" w:rsidR="008E7DC6" w:rsidRPr="00897A04" w:rsidRDefault="008E7DC6" w:rsidP="008E7DC6">
      <w:pPr>
        <w:spacing w:after="0" w:line="240" w:lineRule="auto"/>
        <w:jc w:val="both"/>
        <w:rPr>
          <w:rFonts w:ascii="Times New Roman" w:hAnsi="Times New Roman" w:cs="Times New Roman"/>
          <w:sz w:val="24"/>
          <w:szCs w:val="24"/>
        </w:rPr>
      </w:pPr>
    </w:p>
    <w:p w14:paraId="5A9C8ADF" w14:textId="452E0E55" w:rsidR="008E7DC6" w:rsidRPr="00897A04" w:rsidRDefault="008E7DC6" w:rsidP="008E7DC6">
      <w:pPr>
        <w:spacing w:after="0" w:line="240" w:lineRule="auto"/>
        <w:jc w:val="both"/>
        <w:rPr>
          <w:rFonts w:ascii="Times New Roman" w:hAnsi="Times New Roman" w:cs="Times New Roman"/>
          <w:sz w:val="24"/>
          <w:szCs w:val="24"/>
        </w:rPr>
      </w:pPr>
      <w:r w:rsidRPr="00897A04">
        <w:rPr>
          <w:rFonts w:ascii="Times New Roman" w:hAnsi="Times New Roman" w:cs="Times New Roman"/>
          <w:b/>
          <w:color w:val="5B9BD5" w:themeColor="accent1"/>
          <w:sz w:val="24"/>
          <w:szCs w:val="24"/>
        </w:rPr>
        <w:t>LES MINISTRES DE L’UE ONT DISCUTÉ DE L’AVENIR DES RELATIONS UE – ACP LORS DU CONSEIL « AFFAIRES ÉTRANGÈRES » DU 26 OCTOBRE </w:t>
      </w:r>
      <w:r w:rsidRPr="00897A04">
        <w:rPr>
          <w:rFonts w:ascii="Times New Roman" w:hAnsi="Times New Roman" w:cs="Times New Roman"/>
          <w:sz w:val="24"/>
          <w:szCs w:val="24"/>
        </w:rPr>
        <w:t>: Lors de la réunion du Conseil « affaires étrangères » du 26 octobre dernier, les ministres de l’UE ont procédé à un premier échange de vues sur l’aven</w:t>
      </w:r>
      <w:r w:rsidR="00C1611E">
        <w:rPr>
          <w:rFonts w:ascii="Times New Roman" w:hAnsi="Times New Roman" w:cs="Times New Roman"/>
          <w:sz w:val="24"/>
          <w:szCs w:val="24"/>
        </w:rPr>
        <w:t>ir des relations entre l’UE et l</w:t>
      </w:r>
      <w:r w:rsidRPr="00897A04">
        <w:rPr>
          <w:rFonts w:ascii="Times New Roman" w:hAnsi="Times New Roman" w:cs="Times New Roman"/>
          <w:sz w:val="24"/>
          <w:szCs w:val="24"/>
        </w:rPr>
        <w:t>es pays ACP (Afrique, Caraïbes et Pacifique). En effet, les accords de Cotonou qui régissent actuellement ces relations expireront en 2020 et le Conseil ainsi que la Commission commencent à s’interroger sur la forme et le contenu de ce partenariat après cette date. Tous les ministres ont reconnu que le partenariat devra davantage prendre en compte les défis de la migration et de la sécurité et qu’il devra également se construire en relation avec le programme universel pour le développement à l’horizon 2030 de l’ONU. Le Conseil projette de continuer les débats lors des prochaines réunions avec les pays ACP et sur la base de la consultation publique lancée début octobre et ouverte jusqu’au 22 décembre 2015 (</w:t>
      </w:r>
      <w:proofErr w:type="spellStart"/>
      <w:r w:rsidRPr="00897A04">
        <w:rPr>
          <w:rFonts w:ascii="Times New Roman" w:hAnsi="Times New Roman" w:cs="Times New Roman"/>
          <w:sz w:val="24"/>
          <w:szCs w:val="24"/>
        </w:rPr>
        <w:t>info</w:t>
      </w:r>
      <w:r w:rsidR="00C1611E" w:rsidRPr="00897A04">
        <w:rPr>
          <w:rFonts w:ascii="Times New Roman" w:hAnsi="Times New Roman" w:cs="Times New Roman"/>
          <w:sz w:val="24"/>
          <w:szCs w:val="24"/>
        </w:rPr>
        <w:t>rup</w:t>
      </w:r>
      <w:proofErr w:type="spellEnd"/>
      <w:r w:rsidRPr="00897A04">
        <w:rPr>
          <w:rFonts w:ascii="Times New Roman" w:hAnsi="Times New Roman" w:cs="Times New Roman"/>
          <w:sz w:val="24"/>
          <w:szCs w:val="24"/>
        </w:rPr>
        <w:t xml:space="preserve"> du 9 octobre 2015) : </w:t>
      </w:r>
      <w:hyperlink r:id="rId10" w:history="1">
        <w:r w:rsidRPr="00897A04">
          <w:rPr>
            <w:rStyle w:val="Lienhypertexte"/>
            <w:rFonts w:ascii="Times New Roman" w:hAnsi="Times New Roman" w:cs="Times New Roman"/>
            <w:sz w:val="24"/>
            <w:szCs w:val="24"/>
          </w:rPr>
          <w:t>http://ec.europa.eu/europeaid/public-consultation-eu-acp-new-partnership_en</w:t>
        </w:r>
      </w:hyperlink>
      <w:r w:rsidRPr="00897A04">
        <w:rPr>
          <w:rFonts w:ascii="Times New Roman" w:hAnsi="Times New Roman" w:cs="Times New Roman"/>
          <w:sz w:val="24"/>
          <w:szCs w:val="24"/>
        </w:rPr>
        <w:t xml:space="preserve"> </w:t>
      </w:r>
    </w:p>
    <w:p w14:paraId="4288863F" w14:textId="77777777" w:rsidR="008E7DC6" w:rsidRPr="00897A04" w:rsidRDefault="008E7DC6" w:rsidP="008E7DC6">
      <w:pPr>
        <w:spacing w:after="0" w:line="240" w:lineRule="auto"/>
        <w:jc w:val="both"/>
        <w:rPr>
          <w:rFonts w:ascii="Times New Roman" w:hAnsi="Times New Roman" w:cs="Times New Roman"/>
          <w:sz w:val="24"/>
          <w:szCs w:val="24"/>
        </w:rPr>
      </w:pPr>
    </w:p>
    <w:p w14:paraId="0A92F4AF" w14:textId="77777777" w:rsidR="008E7DC6" w:rsidRPr="00897A04" w:rsidRDefault="008E7DC6" w:rsidP="008E7DC6">
      <w:pPr>
        <w:spacing w:after="0" w:line="240" w:lineRule="auto"/>
        <w:rPr>
          <w:rFonts w:ascii="Times New Roman" w:hAnsi="Times New Roman" w:cs="Times New Roman"/>
          <w:sz w:val="24"/>
          <w:szCs w:val="24"/>
        </w:rPr>
      </w:pPr>
      <w:r w:rsidRPr="00897A04">
        <w:rPr>
          <w:rFonts w:ascii="Times New Roman" w:hAnsi="Times New Roman" w:cs="Times New Roman"/>
          <w:sz w:val="24"/>
          <w:szCs w:val="24"/>
        </w:rPr>
        <w:t xml:space="preserve"> </w:t>
      </w:r>
    </w:p>
    <w:p w14:paraId="42C1903A" w14:textId="77777777" w:rsidR="000D0E99" w:rsidRPr="00897A04" w:rsidRDefault="000A3B64" w:rsidP="000D0E99">
      <w:pPr>
        <w:spacing w:after="0" w:line="240" w:lineRule="auto"/>
        <w:jc w:val="both"/>
        <w:rPr>
          <w:rFonts w:ascii="Times New Roman" w:hAnsi="Times New Roman" w:cs="Times New Roman"/>
          <w:sz w:val="24"/>
          <w:szCs w:val="24"/>
        </w:rPr>
      </w:pPr>
      <w:r w:rsidRPr="00897A04">
        <w:rPr>
          <w:rFonts w:ascii="Times New Roman" w:hAnsi="Times New Roman" w:cs="Times New Roman"/>
          <w:b/>
          <w:color w:val="5B9BD5" w:themeColor="accent1"/>
          <w:sz w:val="24"/>
          <w:szCs w:val="24"/>
        </w:rPr>
        <w:t>REPRISE DES TRILOGUES SUR LA REVISION DU REGIME D’AIDE A LA DISTRIBUTION DE FRUITS, LEGUMES ET DE LAIT DANS LES ETABLISSEMENTS SCOLAIRES :</w:t>
      </w:r>
      <w:r w:rsidRPr="00897A04">
        <w:rPr>
          <w:rFonts w:ascii="Times New Roman" w:hAnsi="Times New Roman" w:cs="Times New Roman"/>
          <w:color w:val="5B9BD5" w:themeColor="accent1"/>
          <w:sz w:val="24"/>
          <w:szCs w:val="24"/>
        </w:rPr>
        <w:t xml:space="preserve"> </w:t>
      </w:r>
      <w:r w:rsidR="00DF5F3B" w:rsidRPr="00897A04">
        <w:rPr>
          <w:rFonts w:ascii="Times New Roman" w:hAnsi="Times New Roman" w:cs="Times New Roman"/>
          <w:sz w:val="24"/>
          <w:szCs w:val="24"/>
        </w:rPr>
        <w:t>Comme précisé dans l’</w:t>
      </w:r>
      <w:proofErr w:type="spellStart"/>
      <w:r w:rsidR="00DF5F3B" w:rsidRPr="00897A04">
        <w:rPr>
          <w:rFonts w:ascii="Times New Roman" w:hAnsi="Times New Roman" w:cs="Times New Roman"/>
          <w:sz w:val="24"/>
          <w:szCs w:val="24"/>
        </w:rPr>
        <w:t>inforup</w:t>
      </w:r>
      <w:proofErr w:type="spellEnd"/>
      <w:r w:rsidR="00DF5F3B" w:rsidRPr="00897A04">
        <w:rPr>
          <w:rFonts w:ascii="Times New Roman" w:hAnsi="Times New Roman" w:cs="Times New Roman"/>
          <w:sz w:val="24"/>
          <w:szCs w:val="24"/>
        </w:rPr>
        <w:t xml:space="preserve"> de la semaine dernière</w:t>
      </w:r>
      <w:r w:rsidRPr="00897A04">
        <w:rPr>
          <w:rFonts w:ascii="Times New Roman" w:hAnsi="Times New Roman" w:cs="Times New Roman"/>
          <w:sz w:val="24"/>
          <w:szCs w:val="24"/>
        </w:rPr>
        <w:t xml:space="preserve">, les </w:t>
      </w:r>
      <w:r w:rsidR="00762339" w:rsidRPr="00897A04">
        <w:rPr>
          <w:rFonts w:ascii="Times New Roman" w:hAnsi="Times New Roman" w:cs="Times New Roman"/>
          <w:sz w:val="24"/>
          <w:szCs w:val="24"/>
        </w:rPr>
        <w:t>trilogues sur la révision du régime de distribution des fruits et légumes dans les établissements scolaires</w:t>
      </w:r>
      <w:r w:rsidRPr="00897A04">
        <w:rPr>
          <w:rFonts w:ascii="Times New Roman" w:hAnsi="Times New Roman" w:cs="Times New Roman"/>
          <w:sz w:val="24"/>
          <w:szCs w:val="24"/>
        </w:rPr>
        <w:t xml:space="preserve"> avaient repris le 20 octobre dernier mais avaient été écourt</w:t>
      </w:r>
      <w:r w:rsidR="00762339" w:rsidRPr="00897A04">
        <w:rPr>
          <w:rFonts w:ascii="Times New Roman" w:hAnsi="Times New Roman" w:cs="Times New Roman"/>
          <w:sz w:val="24"/>
          <w:szCs w:val="24"/>
        </w:rPr>
        <w:t>é</w:t>
      </w:r>
      <w:r w:rsidRPr="00897A04">
        <w:rPr>
          <w:rFonts w:ascii="Times New Roman" w:hAnsi="Times New Roman" w:cs="Times New Roman"/>
          <w:sz w:val="24"/>
          <w:szCs w:val="24"/>
        </w:rPr>
        <w:t xml:space="preserve">s, faute d’accord entre le Parlement et le Conseil sur la base juridique applicable. </w:t>
      </w:r>
      <w:r w:rsidR="00762339" w:rsidRPr="00897A04">
        <w:rPr>
          <w:rFonts w:ascii="Times New Roman" w:hAnsi="Times New Roman" w:cs="Times New Roman"/>
          <w:sz w:val="24"/>
          <w:szCs w:val="24"/>
        </w:rPr>
        <w:t xml:space="preserve">Cette semaine, les trilogues ont finalement repris. La priorité accordée aux produits européens, y compris à la </w:t>
      </w:r>
      <w:r w:rsidR="00762339" w:rsidRPr="00897A04">
        <w:rPr>
          <w:rFonts w:ascii="Times New Roman" w:hAnsi="Times New Roman" w:cs="Times New Roman"/>
          <w:sz w:val="24"/>
          <w:szCs w:val="24"/>
        </w:rPr>
        <w:lastRenderedPageBreak/>
        <w:t>banane des RUP, a été réaffirmée par les trois institutions. La banane « </w:t>
      </w:r>
      <w:proofErr w:type="spellStart"/>
      <w:r w:rsidR="00762339" w:rsidRPr="00897A04">
        <w:rPr>
          <w:rFonts w:ascii="Times New Roman" w:hAnsi="Times New Roman" w:cs="Times New Roman"/>
          <w:sz w:val="24"/>
          <w:szCs w:val="24"/>
        </w:rPr>
        <w:t>fair</w:t>
      </w:r>
      <w:proofErr w:type="spellEnd"/>
      <w:r w:rsidR="00762339" w:rsidRPr="00897A04">
        <w:rPr>
          <w:rFonts w:ascii="Times New Roman" w:hAnsi="Times New Roman" w:cs="Times New Roman"/>
          <w:sz w:val="24"/>
          <w:szCs w:val="24"/>
        </w:rPr>
        <w:t xml:space="preserve"> </w:t>
      </w:r>
      <w:proofErr w:type="spellStart"/>
      <w:r w:rsidR="00762339" w:rsidRPr="00897A04">
        <w:rPr>
          <w:rFonts w:ascii="Times New Roman" w:hAnsi="Times New Roman" w:cs="Times New Roman"/>
          <w:sz w:val="24"/>
          <w:szCs w:val="24"/>
        </w:rPr>
        <w:t>trade</w:t>
      </w:r>
      <w:proofErr w:type="spellEnd"/>
      <w:r w:rsidR="00762339" w:rsidRPr="00897A04">
        <w:rPr>
          <w:rFonts w:ascii="Times New Roman" w:hAnsi="Times New Roman" w:cs="Times New Roman"/>
          <w:sz w:val="24"/>
          <w:szCs w:val="24"/>
        </w:rPr>
        <w:t xml:space="preserve"> » importée pourra être utilisée dans le cadre de ce programme à la seule condition qu’il n’y ait plus de banane européenne disponible. </w:t>
      </w:r>
    </w:p>
    <w:p w14:paraId="62B6C69F" w14:textId="77777777" w:rsidR="00762339" w:rsidRPr="00897A04" w:rsidRDefault="00762339" w:rsidP="000D0E99">
      <w:pPr>
        <w:spacing w:after="0" w:line="240" w:lineRule="auto"/>
        <w:jc w:val="both"/>
        <w:rPr>
          <w:rFonts w:ascii="Times New Roman" w:hAnsi="Times New Roman" w:cs="Times New Roman"/>
          <w:sz w:val="24"/>
          <w:szCs w:val="24"/>
        </w:rPr>
      </w:pPr>
    </w:p>
    <w:p w14:paraId="529D36BF" w14:textId="2C91550B" w:rsidR="00897A04" w:rsidRPr="00897A04" w:rsidRDefault="00916C2C" w:rsidP="00916C2C">
      <w:pPr>
        <w:spacing w:after="0" w:line="240" w:lineRule="auto"/>
        <w:jc w:val="both"/>
        <w:rPr>
          <w:rFonts w:ascii="Times New Roman" w:eastAsia="Calibri" w:hAnsi="Times New Roman" w:cs="Times New Roman"/>
          <w:sz w:val="24"/>
          <w:szCs w:val="24"/>
        </w:rPr>
      </w:pPr>
      <w:r w:rsidRPr="00897A04">
        <w:rPr>
          <w:rFonts w:ascii="Times New Roman" w:eastAsia="Calibri" w:hAnsi="Times New Roman" w:cs="Times New Roman"/>
          <w:b/>
          <w:color w:val="5B9BD5" w:themeColor="accent1"/>
          <w:sz w:val="24"/>
          <w:szCs w:val="24"/>
        </w:rPr>
        <w:t>CONFÉRENCE SUR « DES POLITIQUES INTELLIGENTES POUR DES ÎLES INTELLIGENTES » :</w:t>
      </w:r>
      <w:r w:rsidRPr="00897A04">
        <w:rPr>
          <w:rFonts w:ascii="Times New Roman" w:eastAsia="Calibri" w:hAnsi="Times New Roman" w:cs="Times New Roman"/>
          <w:color w:val="5B9BD5" w:themeColor="accent1"/>
          <w:sz w:val="24"/>
          <w:szCs w:val="24"/>
        </w:rPr>
        <w:t xml:space="preserve"> </w:t>
      </w:r>
      <w:r w:rsidRPr="00897A04">
        <w:rPr>
          <w:rFonts w:ascii="Times New Roman" w:eastAsia="Calibri" w:hAnsi="Times New Roman" w:cs="Times New Roman"/>
          <w:sz w:val="24"/>
          <w:szCs w:val="24"/>
        </w:rPr>
        <w:t xml:space="preserve">Après l’adoption de son avis d’initiative </w:t>
      </w:r>
      <w:r w:rsidR="00C1611E">
        <w:rPr>
          <w:rFonts w:ascii="Times New Roman" w:eastAsia="Calibri" w:hAnsi="Times New Roman" w:cs="Times New Roman"/>
          <w:sz w:val="24"/>
          <w:szCs w:val="24"/>
        </w:rPr>
        <w:t xml:space="preserve">en mars dernier </w:t>
      </w:r>
      <w:bookmarkStart w:id="0" w:name="_GoBack"/>
      <w:bookmarkEnd w:id="0"/>
      <w:r w:rsidRPr="00897A04">
        <w:rPr>
          <w:rFonts w:ascii="Times New Roman" w:eastAsia="Calibri" w:hAnsi="Times New Roman" w:cs="Times New Roman"/>
          <w:sz w:val="24"/>
          <w:szCs w:val="24"/>
        </w:rPr>
        <w:t xml:space="preserve">sur les îles intelligentes, le Comité économique et social européen a décidé de lancer une conférence, vendredi 6 novembre sur l’île de Krk (Croatie), sur le thème des politiques intelligentes pour des îles intelligentes, organisée en coopération avec le réseau INSULEUR et avec l’aide de la commission des îles de la Conférence des régions périphériques maritimes d'Europe (CRPM) et de la Fédération des petites îles européennes. La conférence explorera l'idée selon laquelle les îles présentent des caractéristiques uniques qui sont à l'origine de difficultés spécifiques, mais qui peuvent souvent être transformées en atouts, pour peu que des politiques de développement intelligentes et durables soient mises en œuvre. </w:t>
      </w:r>
      <w:r w:rsidR="00897A04" w:rsidRPr="00897A04">
        <w:rPr>
          <w:rFonts w:ascii="Times New Roman" w:eastAsia="Calibri" w:hAnsi="Times New Roman" w:cs="Times New Roman"/>
          <w:sz w:val="24"/>
          <w:szCs w:val="24"/>
        </w:rPr>
        <w:t>A la lecture du programme, il ne semble pas que les problématiques des RUP seront abordées lors de cette conférence.</w:t>
      </w:r>
    </w:p>
    <w:p w14:paraId="1885EA12" w14:textId="77777777" w:rsidR="007C51C6" w:rsidRDefault="007C51C6" w:rsidP="000D0E99">
      <w:pPr>
        <w:spacing w:after="0" w:line="240" w:lineRule="auto"/>
        <w:jc w:val="both"/>
        <w:rPr>
          <w:rFonts w:ascii="Times New Roman" w:eastAsia="Calibri" w:hAnsi="Times New Roman" w:cs="Times New Roman"/>
          <w:sz w:val="24"/>
          <w:szCs w:val="24"/>
        </w:rPr>
      </w:pPr>
    </w:p>
    <w:p w14:paraId="65B62B3F" w14:textId="77777777" w:rsidR="00897A04" w:rsidRDefault="00897A04" w:rsidP="000D0E99">
      <w:pPr>
        <w:spacing w:after="0" w:line="240" w:lineRule="auto"/>
        <w:jc w:val="both"/>
        <w:rPr>
          <w:rFonts w:ascii="Times New Roman" w:eastAsia="Calibri" w:hAnsi="Times New Roman" w:cs="Times New Roman"/>
          <w:sz w:val="24"/>
          <w:szCs w:val="24"/>
        </w:rPr>
      </w:pPr>
    </w:p>
    <w:p w14:paraId="18A5F112" w14:textId="77777777" w:rsidR="00897A04" w:rsidRDefault="00897A04" w:rsidP="000D0E99">
      <w:pPr>
        <w:spacing w:after="0" w:line="240" w:lineRule="auto"/>
        <w:jc w:val="both"/>
        <w:rPr>
          <w:rFonts w:ascii="Times New Roman" w:eastAsia="Calibri" w:hAnsi="Times New Roman" w:cs="Times New Roman"/>
          <w:sz w:val="24"/>
          <w:szCs w:val="24"/>
        </w:rPr>
      </w:pPr>
    </w:p>
    <w:p w14:paraId="311E0992" w14:textId="77777777" w:rsidR="00897A04" w:rsidRDefault="00897A04" w:rsidP="000D0E99">
      <w:pPr>
        <w:spacing w:after="0" w:line="240" w:lineRule="auto"/>
        <w:jc w:val="both"/>
        <w:rPr>
          <w:rFonts w:ascii="Times New Roman" w:eastAsia="Calibri" w:hAnsi="Times New Roman" w:cs="Times New Roman"/>
          <w:sz w:val="24"/>
          <w:szCs w:val="24"/>
        </w:rPr>
      </w:pPr>
    </w:p>
    <w:p w14:paraId="6861EB32" w14:textId="77777777" w:rsidR="00897A04" w:rsidRDefault="00897A04" w:rsidP="000D0E99">
      <w:pPr>
        <w:spacing w:after="0" w:line="240" w:lineRule="auto"/>
        <w:jc w:val="both"/>
        <w:rPr>
          <w:rFonts w:ascii="Times New Roman" w:eastAsia="Calibri" w:hAnsi="Times New Roman" w:cs="Times New Roman"/>
          <w:sz w:val="24"/>
          <w:szCs w:val="24"/>
        </w:rPr>
      </w:pPr>
    </w:p>
    <w:p w14:paraId="542B8B08" w14:textId="77777777" w:rsidR="00897A04" w:rsidRDefault="00897A04" w:rsidP="000D0E99">
      <w:pPr>
        <w:spacing w:after="0" w:line="240" w:lineRule="auto"/>
        <w:jc w:val="both"/>
        <w:rPr>
          <w:rFonts w:ascii="Times New Roman" w:eastAsia="Calibri" w:hAnsi="Times New Roman" w:cs="Times New Roman"/>
          <w:sz w:val="24"/>
          <w:szCs w:val="24"/>
        </w:rPr>
      </w:pPr>
    </w:p>
    <w:p w14:paraId="647180D0" w14:textId="77777777" w:rsidR="00DF5F3B" w:rsidRPr="00DF5F3B" w:rsidRDefault="00DF5F3B" w:rsidP="00DF5F3B">
      <w:pPr>
        <w:rPr>
          <w:rFonts w:ascii="Times New Roman" w:hAnsi="Times New Roman" w:cs="Times New Roman"/>
          <w:b/>
          <w:bCs/>
          <w:color w:val="5B9BD5" w:themeColor="accent1"/>
          <w:sz w:val="24"/>
          <w:szCs w:val="24"/>
          <w:lang w:eastAsia="fr-BE"/>
        </w:rPr>
      </w:pPr>
    </w:p>
    <w:p w14:paraId="054AA898" w14:textId="77777777" w:rsidR="00C1611E" w:rsidRDefault="00C1611E">
      <w:pPr>
        <w:rPr>
          <w:rFonts w:ascii="Times New Roman" w:hAnsi="Times New Roman" w:cs="Times New Roman"/>
          <w:b/>
          <w:bCs/>
          <w:color w:val="5B9BD5" w:themeColor="accent1"/>
          <w:sz w:val="24"/>
          <w:szCs w:val="24"/>
          <w:lang w:eastAsia="fr-BE"/>
        </w:rPr>
      </w:pPr>
      <w:r>
        <w:rPr>
          <w:rFonts w:ascii="Times New Roman" w:hAnsi="Times New Roman" w:cs="Times New Roman"/>
          <w:b/>
          <w:bCs/>
          <w:color w:val="5B9BD5" w:themeColor="accent1"/>
          <w:sz w:val="24"/>
          <w:szCs w:val="24"/>
          <w:lang w:eastAsia="fr-BE"/>
        </w:rPr>
        <w:br w:type="page"/>
      </w:r>
    </w:p>
    <w:p w14:paraId="7167A851" w14:textId="12E8BA95" w:rsidR="00DF5F3B" w:rsidRPr="00DF5F3B" w:rsidRDefault="00DF5F3B" w:rsidP="00DF5F3B">
      <w:pPr>
        <w:rPr>
          <w:rFonts w:ascii="Times New Roman" w:hAnsi="Times New Roman" w:cs="Times New Roman"/>
          <w:sz w:val="24"/>
          <w:szCs w:val="24"/>
        </w:rPr>
      </w:pPr>
      <w:r w:rsidRPr="00DF5F3B">
        <w:rPr>
          <w:rFonts w:ascii="Times New Roman" w:hAnsi="Times New Roman" w:cs="Times New Roman"/>
          <w:b/>
          <w:bCs/>
          <w:color w:val="5B9BD5" w:themeColor="accent1"/>
          <w:sz w:val="24"/>
          <w:szCs w:val="24"/>
          <w:lang w:eastAsia="fr-BE"/>
        </w:rPr>
        <w:lastRenderedPageBreak/>
        <w:t xml:space="preserve">AGENDA DE LA SEMAINE DU </w:t>
      </w:r>
      <w:r>
        <w:rPr>
          <w:rFonts w:ascii="Times New Roman" w:hAnsi="Times New Roman" w:cs="Times New Roman"/>
          <w:b/>
          <w:bCs/>
          <w:color w:val="5B9BD5" w:themeColor="accent1"/>
          <w:sz w:val="24"/>
          <w:szCs w:val="24"/>
          <w:lang w:eastAsia="fr-BE"/>
        </w:rPr>
        <w:t>02</w:t>
      </w:r>
      <w:r w:rsidRPr="00DF5F3B">
        <w:rPr>
          <w:rFonts w:ascii="Times New Roman" w:hAnsi="Times New Roman" w:cs="Times New Roman"/>
          <w:b/>
          <w:bCs/>
          <w:color w:val="5B9BD5" w:themeColor="accent1"/>
          <w:sz w:val="24"/>
          <w:szCs w:val="24"/>
          <w:lang w:eastAsia="fr-BE"/>
        </w:rPr>
        <w:t xml:space="preserve"> AU </w:t>
      </w:r>
      <w:r w:rsidR="000D0E99">
        <w:rPr>
          <w:rFonts w:ascii="Times New Roman" w:hAnsi="Times New Roman" w:cs="Times New Roman"/>
          <w:b/>
          <w:bCs/>
          <w:color w:val="5B9BD5" w:themeColor="accent1"/>
          <w:sz w:val="24"/>
          <w:szCs w:val="24"/>
          <w:lang w:eastAsia="fr-BE"/>
        </w:rPr>
        <w:t>06</w:t>
      </w:r>
      <w:r>
        <w:rPr>
          <w:rFonts w:ascii="Times New Roman" w:hAnsi="Times New Roman" w:cs="Times New Roman"/>
          <w:b/>
          <w:bCs/>
          <w:color w:val="5B9BD5" w:themeColor="accent1"/>
          <w:sz w:val="24"/>
          <w:szCs w:val="24"/>
          <w:lang w:eastAsia="fr-BE"/>
        </w:rPr>
        <w:t xml:space="preserve"> NOVEMBRE</w:t>
      </w:r>
      <w:r w:rsidRPr="00DF5F3B">
        <w:rPr>
          <w:rFonts w:ascii="Times New Roman" w:hAnsi="Times New Roman" w:cs="Times New Roman"/>
          <w:b/>
          <w:bCs/>
          <w:color w:val="5B9BD5" w:themeColor="accent1"/>
          <w:sz w:val="24"/>
          <w:szCs w:val="24"/>
          <w:lang w:eastAsia="fr-BE"/>
        </w:rPr>
        <w:t xml:space="preserve"> 2015</w:t>
      </w:r>
    </w:p>
    <w:p w14:paraId="30B115D3" w14:textId="77777777" w:rsidR="00DF5F3B" w:rsidRPr="00DF5F3B" w:rsidRDefault="00DF5F3B" w:rsidP="00DF5F3B">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2626"/>
        <w:gridCol w:w="2603"/>
        <w:gridCol w:w="2500"/>
        <w:gridCol w:w="1762"/>
      </w:tblGrid>
      <w:tr w:rsidR="00DF5F3B" w:rsidRPr="00DF5F3B" w14:paraId="6EA1AE18" w14:textId="77777777" w:rsidTr="000C10AE">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9F16CC" w14:textId="77777777" w:rsidR="00DF5F3B" w:rsidRPr="00DF5F3B" w:rsidRDefault="00DF5F3B" w:rsidP="00DF5F3B">
            <w:pPr>
              <w:spacing w:after="0" w:line="276" w:lineRule="auto"/>
              <w:rPr>
                <w:rFonts w:ascii="Times New Roman" w:eastAsiaTheme="minorEastAsia" w:hAnsi="Times New Roman" w:cs="Times New Roman"/>
                <w:sz w:val="24"/>
                <w:szCs w:val="24"/>
                <w:lang w:eastAsia="fr-BE"/>
              </w:rPr>
            </w:pPr>
          </w:p>
        </w:tc>
        <w:tc>
          <w:tcPr>
            <w:tcW w:w="1167"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63A4D1A" w14:textId="77777777"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157"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5ACB2BD" w14:textId="77777777"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11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D51E3C2" w14:textId="77777777"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14:paraId="499B8748" w14:textId="77777777"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DF5F3B" w:rsidRPr="00DF5F3B" w14:paraId="2CA83E33" w14:textId="77777777" w:rsidTr="000C10AE">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BA0BFDC" w14:textId="77777777"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proofErr w:type="spellStart"/>
            <w:r w:rsidRPr="00DF5F3B">
              <w:rPr>
                <w:rFonts w:ascii="Times New Roman" w:hAnsi="Times New Roman" w:cs="Times New Roman"/>
                <w:b/>
                <w:bCs/>
                <w:color w:val="000000"/>
                <w:sz w:val="24"/>
                <w:szCs w:val="24"/>
                <w:lang w:val="en-US" w:eastAsia="fr-BE"/>
              </w:rPr>
              <w:t>Lundi</w:t>
            </w:r>
            <w:proofErr w:type="spellEnd"/>
          </w:p>
          <w:p w14:paraId="70ED3F8C" w14:textId="77777777"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02</w:t>
            </w:r>
            <w:r w:rsidRPr="00DF5F3B">
              <w:rPr>
                <w:rFonts w:ascii="Times New Roman" w:hAnsi="Times New Roman" w:cs="Times New Roman"/>
                <w:b/>
                <w:bCs/>
                <w:color w:val="000000"/>
                <w:sz w:val="24"/>
                <w:szCs w:val="24"/>
                <w:lang w:val="en-US" w:eastAsia="fr-BE"/>
              </w:rPr>
              <w:t>/</w:t>
            </w:r>
            <w:r>
              <w:rPr>
                <w:rFonts w:ascii="Times New Roman" w:hAnsi="Times New Roman" w:cs="Times New Roman"/>
                <w:b/>
                <w:bCs/>
                <w:color w:val="000000"/>
                <w:sz w:val="24"/>
                <w:szCs w:val="24"/>
                <w:lang w:val="en-US" w:eastAsia="fr-BE"/>
              </w:rPr>
              <w:t>11</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14:paraId="58ABDBE3" w14:textId="77777777" w:rsidR="00DF5F3B" w:rsidRDefault="00DF5F3B" w:rsidP="00DF5F3B">
            <w:pPr>
              <w:spacing w:after="0" w:line="276" w:lineRule="auto"/>
              <w:jc w:val="both"/>
              <w:rPr>
                <w:rFonts w:ascii="Times New Roman" w:eastAsia="Calibri" w:hAnsi="Times New Roman" w:cs="Times New Roman"/>
                <w:lang w:eastAsia="fr-BE"/>
              </w:rPr>
            </w:pPr>
          </w:p>
          <w:p w14:paraId="541F8162" w14:textId="77777777" w:rsidR="00DF5F3B" w:rsidRPr="00DF5F3B" w:rsidRDefault="00DF5F3B" w:rsidP="00DF5F3B">
            <w:pPr>
              <w:spacing w:after="0" w:line="276" w:lineRule="auto"/>
              <w:jc w:val="both"/>
              <w:rPr>
                <w:rFonts w:ascii="Times New Roman" w:eastAsia="Calibri" w:hAnsi="Times New Roman" w:cs="Times New Roman"/>
                <w:lang w:eastAsia="fr-BE"/>
              </w:rPr>
            </w:pPr>
            <w:r w:rsidRPr="007C51C6">
              <w:rPr>
                <w:rFonts w:ascii="Times New Roman" w:eastAsia="Calibri" w:hAnsi="Times New Roman" w:cs="Times New Roman"/>
                <w:lang w:eastAsia="fr-BE"/>
              </w:rPr>
              <w:t xml:space="preserve">Mission parlementaire de la commission PECH du Parlement à La Réunion </w:t>
            </w:r>
          </w:p>
          <w:p w14:paraId="57B37859" w14:textId="77777777" w:rsidR="00DF5F3B" w:rsidRPr="00DF5F3B" w:rsidRDefault="00DF5F3B" w:rsidP="00DF5F3B">
            <w:pPr>
              <w:spacing w:after="0" w:line="276" w:lineRule="auto"/>
              <w:jc w:val="both"/>
              <w:rPr>
                <w:rFonts w:ascii="Times New Roman" w:eastAsia="Calibri" w:hAnsi="Times New Roman" w:cs="Times New Roman"/>
                <w:b/>
                <w:lang w:eastAsia="fr-BE"/>
              </w:rPr>
            </w:pPr>
          </w:p>
        </w:tc>
        <w:tc>
          <w:tcPr>
            <w:tcW w:w="1157" w:type="pct"/>
            <w:tcBorders>
              <w:top w:val="nil"/>
              <w:left w:val="nil"/>
              <w:bottom w:val="single" w:sz="8" w:space="0" w:color="auto"/>
              <w:right w:val="single" w:sz="8" w:space="0" w:color="auto"/>
            </w:tcBorders>
            <w:noWrap/>
            <w:tcMar>
              <w:top w:w="0" w:type="dxa"/>
              <w:left w:w="70" w:type="dxa"/>
              <w:bottom w:w="0" w:type="dxa"/>
              <w:right w:w="70" w:type="dxa"/>
            </w:tcMar>
          </w:tcPr>
          <w:p w14:paraId="1B1CCFD1" w14:textId="77777777" w:rsidR="00DF5F3B" w:rsidRPr="00DF5F3B" w:rsidRDefault="00DF5F3B" w:rsidP="00DF5F3B">
            <w:pPr>
              <w:autoSpaceDE w:val="0"/>
              <w:autoSpaceDN w:val="0"/>
              <w:adjustRightInd w:val="0"/>
              <w:spacing w:after="0" w:line="240" w:lineRule="auto"/>
              <w:jc w:val="both"/>
              <w:rPr>
                <w:rFonts w:ascii="Times New Roman" w:hAnsi="Times New Roman" w:cs="Times New Roman"/>
                <w:iCs/>
                <w:color w:val="44546A" w:themeColor="text2"/>
                <w:lang w:eastAsia="fr-BE"/>
              </w:rPr>
            </w:pPr>
          </w:p>
          <w:p w14:paraId="3B5D4477" w14:textId="77777777" w:rsidR="00DF5F3B" w:rsidRPr="00DF5F3B" w:rsidRDefault="00DF5F3B" w:rsidP="00DF5F3B">
            <w:pPr>
              <w:autoSpaceDE w:val="0"/>
              <w:autoSpaceDN w:val="0"/>
              <w:adjustRightInd w:val="0"/>
              <w:spacing w:after="0" w:line="240" w:lineRule="auto"/>
              <w:jc w:val="center"/>
              <w:rPr>
                <w:rFonts w:ascii="Times New Roman" w:hAnsi="Times New Roman" w:cs="Times New Roman"/>
                <w:iCs/>
                <w:lang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04186446" w14:textId="77777777" w:rsidR="00DF5F3B" w:rsidRPr="00DF5F3B" w:rsidRDefault="00DF5F3B" w:rsidP="00DF5F3B">
            <w:pPr>
              <w:autoSpaceDE w:val="0"/>
              <w:autoSpaceDN w:val="0"/>
              <w:adjustRightInd w:val="0"/>
              <w:spacing w:after="0" w:line="240" w:lineRule="auto"/>
              <w:rPr>
                <w:rFonts w:ascii="Times New Roman" w:eastAsia="Calibri" w:hAnsi="Times New Roman" w:cs="Times New Roman"/>
                <w:b/>
                <w:sz w:val="24"/>
                <w:szCs w:val="24"/>
              </w:rPr>
            </w:pPr>
          </w:p>
          <w:p w14:paraId="36CB7924" w14:textId="77777777" w:rsidR="00DF5F3B" w:rsidRPr="00DF5F3B" w:rsidRDefault="00DF5F3B" w:rsidP="00DF5F3B">
            <w:pPr>
              <w:autoSpaceDE w:val="0"/>
              <w:autoSpaceDN w:val="0"/>
              <w:adjustRightInd w:val="0"/>
              <w:spacing w:after="0" w:line="240" w:lineRule="auto"/>
              <w:jc w:val="both"/>
              <w:rPr>
                <w:rFonts w:ascii="Times New Roman" w:eastAsia="Calibri" w:hAnsi="Times New Roman" w:cs="Times New Roman"/>
                <w:b/>
                <w:sz w:val="24"/>
                <w:szCs w:val="24"/>
              </w:rPr>
            </w:pPr>
          </w:p>
        </w:tc>
        <w:tc>
          <w:tcPr>
            <w:tcW w:w="783" w:type="pct"/>
            <w:tcBorders>
              <w:top w:val="nil"/>
              <w:left w:val="nil"/>
              <w:bottom w:val="single" w:sz="8" w:space="0" w:color="auto"/>
              <w:right w:val="single" w:sz="8" w:space="0" w:color="auto"/>
            </w:tcBorders>
          </w:tcPr>
          <w:p w14:paraId="36F33E42" w14:textId="77777777" w:rsidR="00DF5F3B" w:rsidRPr="00DF5F3B" w:rsidRDefault="00DF5F3B" w:rsidP="00DF5F3B">
            <w:pPr>
              <w:autoSpaceDE w:val="0"/>
              <w:autoSpaceDN w:val="0"/>
              <w:adjustRightInd w:val="0"/>
              <w:spacing w:after="0" w:line="240" w:lineRule="auto"/>
              <w:jc w:val="both"/>
              <w:rPr>
                <w:rFonts w:ascii="Times New Roman" w:eastAsia="Calibri" w:hAnsi="Times New Roman" w:cs="Times New Roman"/>
                <w:b/>
                <w:sz w:val="24"/>
                <w:szCs w:val="24"/>
              </w:rPr>
            </w:pPr>
          </w:p>
        </w:tc>
      </w:tr>
      <w:tr w:rsidR="00DF5F3B" w:rsidRPr="00DF5F3B" w14:paraId="10282B42" w14:textId="77777777" w:rsidTr="000C10AE">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D66E44C" w14:textId="77777777"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r w:rsidRPr="00DF5F3B">
              <w:rPr>
                <w:rFonts w:ascii="Times New Roman" w:hAnsi="Times New Roman" w:cs="Times New Roman"/>
                <w:b/>
                <w:bCs/>
                <w:color w:val="000000"/>
                <w:sz w:val="24"/>
                <w:szCs w:val="24"/>
                <w:lang w:val="en-US" w:eastAsia="fr-BE"/>
              </w:rPr>
              <w:t>Mardi</w:t>
            </w:r>
          </w:p>
          <w:p w14:paraId="7F51132B" w14:textId="77777777"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03</w:t>
            </w:r>
            <w:r w:rsidRPr="00DF5F3B">
              <w:rPr>
                <w:rFonts w:ascii="Times New Roman" w:hAnsi="Times New Roman" w:cs="Times New Roman"/>
                <w:b/>
                <w:bCs/>
                <w:color w:val="000000"/>
                <w:sz w:val="24"/>
                <w:szCs w:val="24"/>
                <w:lang w:val="en-US" w:eastAsia="fr-BE"/>
              </w:rPr>
              <w:t>/</w:t>
            </w:r>
            <w:r>
              <w:rPr>
                <w:rFonts w:ascii="Times New Roman" w:hAnsi="Times New Roman" w:cs="Times New Roman"/>
                <w:b/>
                <w:bCs/>
                <w:color w:val="000000"/>
                <w:sz w:val="24"/>
                <w:szCs w:val="24"/>
                <w:lang w:val="en-US" w:eastAsia="fr-BE"/>
              </w:rPr>
              <w:t>1</w:t>
            </w:r>
          </w:p>
          <w:p w14:paraId="64595779" w14:textId="77777777"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14:paraId="527DAABA" w14:textId="77777777" w:rsidR="00DF5F3B" w:rsidRPr="00DF5F3B" w:rsidRDefault="00DF5F3B" w:rsidP="00DF5F3B">
            <w:pPr>
              <w:spacing w:after="0" w:line="276" w:lineRule="auto"/>
              <w:jc w:val="both"/>
              <w:rPr>
                <w:rFonts w:ascii="Times New Roman" w:eastAsia="Calibri" w:hAnsi="Times New Roman" w:cs="Times New Roman"/>
                <w:lang w:eastAsia="fr-BE"/>
              </w:rPr>
            </w:pPr>
          </w:p>
          <w:p w14:paraId="3A0B7F62" w14:textId="77777777" w:rsidR="00DF5F3B" w:rsidRPr="00DF5F3B" w:rsidRDefault="00DF5F3B" w:rsidP="00DF5F3B">
            <w:pPr>
              <w:spacing w:after="0" w:line="276" w:lineRule="auto"/>
              <w:jc w:val="both"/>
              <w:rPr>
                <w:rFonts w:ascii="Times New Roman" w:eastAsia="Calibri" w:hAnsi="Times New Roman" w:cs="Times New Roman"/>
                <w:b/>
              </w:rPr>
            </w:pPr>
            <w:r w:rsidRPr="007C51C6">
              <w:rPr>
                <w:rFonts w:ascii="Times New Roman" w:eastAsia="Calibri" w:hAnsi="Times New Roman" w:cs="Times New Roman"/>
              </w:rPr>
              <w:t>Mission parlementaire de la commission PECH du Parlement à La Réunion</w:t>
            </w:r>
          </w:p>
        </w:tc>
        <w:tc>
          <w:tcPr>
            <w:tcW w:w="115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62295F6" w14:textId="77777777" w:rsidR="00DF5F3B" w:rsidRPr="00DF5F3B" w:rsidRDefault="00DF5F3B" w:rsidP="00DF5F3B">
            <w:pPr>
              <w:spacing w:after="0" w:line="276" w:lineRule="auto"/>
              <w:jc w:val="center"/>
              <w:rPr>
                <w:rFonts w:ascii="Times New Roman" w:eastAsia="Calibri" w:hAnsi="Times New Roman" w:cs="Times New Roman"/>
                <w:color w:val="44546A" w:themeColor="text2"/>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57DFE385" w14:textId="77777777" w:rsidR="00DF5F3B" w:rsidRPr="00DF5F3B" w:rsidRDefault="00DF5F3B" w:rsidP="00DF5F3B">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14:paraId="43284766" w14:textId="77777777" w:rsidR="00DF5F3B" w:rsidRPr="00DF5F3B" w:rsidRDefault="00DF5F3B"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14:paraId="7B47E4F9" w14:textId="77777777" w:rsidR="00DF5F3B" w:rsidRPr="00DF5F3B" w:rsidRDefault="00DF5F3B"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tc>
      </w:tr>
      <w:tr w:rsidR="00DF5F3B" w:rsidRPr="00DF5F3B" w14:paraId="67C49BA7" w14:textId="77777777" w:rsidTr="000C10AE">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0102DC2" w14:textId="77777777" w:rsidR="00DF5F3B" w:rsidRPr="00DF5F3B" w:rsidRDefault="00DF5F3B" w:rsidP="00DF5F3B">
            <w:pPr>
              <w:spacing w:after="0" w:line="276" w:lineRule="auto"/>
              <w:jc w:val="center"/>
              <w:rPr>
                <w:rFonts w:ascii="Times New Roman" w:hAnsi="Times New Roman" w:cs="Times New Roman"/>
                <w:b/>
                <w:bCs/>
                <w:color w:val="000000"/>
                <w:lang w:val="en-US" w:eastAsia="fr-BE"/>
              </w:rPr>
            </w:pPr>
            <w:proofErr w:type="spellStart"/>
            <w:r w:rsidRPr="00DF5F3B">
              <w:rPr>
                <w:rFonts w:ascii="Times New Roman" w:hAnsi="Times New Roman" w:cs="Times New Roman"/>
                <w:b/>
                <w:bCs/>
                <w:color w:val="000000"/>
                <w:lang w:val="en-US" w:eastAsia="fr-BE"/>
              </w:rPr>
              <w:t>Mercredi</w:t>
            </w:r>
            <w:proofErr w:type="spellEnd"/>
          </w:p>
          <w:p w14:paraId="37B860D1" w14:textId="77777777" w:rsidR="00DF5F3B" w:rsidRPr="00DF5F3B" w:rsidRDefault="00DF5F3B" w:rsidP="00DF5F3B">
            <w:pPr>
              <w:spacing w:after="0" w:line="276" w:lineRule="auto"/>
              <w:jc w:val="center"/>
              <w:rPr>
                <w:rFonts w:ascii="Times New Roman" w:hAnsi="Times New Roman" w:cs="Times New Roman"/>
                <w:b/>
                <w:bCs/>
                <w:color w:val="000000"/>
                <w:lang w:val="en-US" w:eastAsia="fr-BE"/>
              </w:rPr>
            </w:pPr>
            <w:r>
              <w:rPr>
                <w:rFonts w:ascii="Times New Roman" w:hAnsi="Times New Roman" w:cs="Times New Roman"/>
                <w:b/>
                <w:bCs/>
                <w:color w:val="000000"/>
                <w:lang w:val="en-US" w:eastAsia="fr-BE"/>
              </w:rPr>
              <w:t>04</w:t>
            </w:r>
            <w:r w:rsidRPr="00DF5F3B">
              <w:rPr>
                <w:rFonts w:ascii="Times New Roman" w:hAnsi="Times New Roman" w:cs="Times New Roman"/>
                <w:b/>
                <w:bCs/>
                <w:color w:val="000000"/>
                <w:lang w:val="en-US" w:eastAsia="fr-BE"/>
              </w:rPr>
              <w:t>/</w:t>
            </w:r>
            <w:r>
              <w:rPr>
                <w:rFonts w:ascii="Times New Roman" w:hAnsi="Times New Roman" w:cs="Times New Roman"/>
                <w:b/>
                <w:bCs/>
                <w:color w:val="000000"/>
                <w:lang w:val="en-US" w:eastAsia="fr-BE"/>
              </w:rPr>
              <w:t>11</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14:paraId="3766F6C9" w14:textId="77777777" w:rsidR="00DF5F3B" w:rsidRPr="00DF5F3B" w:rsidRDefault="00DF5F3B" w:rsidP="00DF5F3B">
            <w:pPr>
              <w:spacing w:after="0" w:line="240" w:lineRule="auto"/>
              <w:jc w:val="both"/>
              <w:rPr>
                <w:rFonts w:ascii="Times New Roman" w:eastAsia="Calibri" w:hAnsi="Times New Roman" w:cs="Times New Roman"/>
                <w:u w:val="single"/>
              </w:rPr>
            </w:pPr>
          </w:p>
          <w:p w14:paraId="04165417" w14:textId="77777777" w:rsidR="00DF5F3B" w:rsidRPr="00DF5F3B" w:rsidRDefault="00DF5F3B" w:rsidP="00DF5F3B">
            <w:pPr>
              <w:spacing w:after="0" w:line="276" w:lineRule="auto"/>
              <w:jc w:val="both"/>
              <w:rPr>
                <w:rFonts w:ascii="Times New Roman" w:eastAsia="Calibri" w:hAnsi="Times New Roman" w:cs="Times New Roman"/>
                <w:b/>
              </w:rPr>
            </w:pPr>
            <w:r w:rsidRPr="007C51C6">
              <w:rPr>
                <w:rFonts w:ascii="Times New Roman" w:eastAsia="Calibri" w:hAnsi="Times New Roman" w:cs="Times New Roman"/>
              </w:rPr>
              <w:t>Mission parlementaire de la commission PECH du Parlement à La Réunion</w:t>
            </w:r>
          </w:p>
        </w:tc>
        <w:tc>
          <w:tcPr>
            <w:tcW w:w="115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7A4AC60" w14:textId="77777777" w:rsidR="00DF5F3B" w:rsidRPr="00DF5F3B" w:rsidRDefault="00DF5F3B" w:rsidP="00DF5F3B">
            <w:pPr>
              <w:spacing w:after="0" w:line="276" w:lineRule="auto"/>
              <w:rPr>
                <w:rFonts w:ascii="Times New Roman" w:eastAsia="Calibri" w:hAnsi="Times New Roman" w:cs="Times New Roman"/>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3375DDA8" w14:textId="77777777" w:rsidR="00DF5F3B" w:rsidRPr="00DF5F3B" w:rsidRDefault="00DF5F3B" w:rsidP="00DF5F3B">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14:paraId="4BC53665" w14:textId="77777777" w:rsidR="00DF5F3B" w:rsidRPr="00DF5F3B" w:rsidRDefault="00DF5F3B" w:rsidP="00DF5F3B">
            <w:pPr>
              <w:spacing w:after="0" w:line="240" w:lineRule="auto"/>
              <w:jc w:val="both"/>
              <w:rPr>
                <w:rFonts w:ascii="Times New Roman" w:eastAsia="Calibri" w:hAnsi="Times New Roman" w:cs="Times New Roman"/>
                <w:sz w:val="24"/>
                <w:szCs w:val="24"/>
                <w:lang w:eastAsia="fr-BE"/>
              </w:rPr>
            </w:pPr>
          </w:p>
        </w:tc>
      </w:tr>
      <w:tr w:rsidR="00DF5F3B" w:rsidRPr="00DF5F3B" w14:paraId="4FBDBB73" w14:textId="77777777" w:rsidTr="000C10AE">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C944323" w14:textId="77777777" w:rsidR="00DF5F3B" w:rsidRPr="00DF5F3B" w:rsidRDefault="00DF5F3B" w:rsidP="00DF5F3B">
            <w:pPr>
              <w:spacing w:after="0" w:line="276" w:lineRule="auto"/>
              <w:jc w:val="center"/>
              <w:rPr>
                <w:rFonts w:ascii="Times New Roman" w:hAnsi="Times New Roman" w:cs="Times New Roman"/>
                <w:b/>
                <w:bCs/>
                <w:sz w:val="24"/>
                <w:szCs w:val="24"/>
                <w:lang w:eastAsia="fr-BE"/>
              </w:rPr>
            </w:pPr>
            <w:r w:rsidRPr="00DF5F3B">
              <w:rPr>
                <w:rFonts w:ascii="Times New Roman" w:hAnsi="Times New Roman" w:cs="Times New Roman"/>
                <w:b/>
                <w:bCs/>
                <w:sz w:val="24"/>
                <w:szCs w:val="24"/>
                <w:lang w:eastAsia="fr-BE"/>
              </w:rPr>
              <w:t>Jeudi</w:t>
            </w:r>
          </w:p>
          <w:p w14:paraId="5EE07E03" w14:textId="77777777" w:rsidR="00DF5F3B" w:rsidRPr="00DF5F3B" w:rsidRDefault="00DF5F3B" w:rsidP="00DF5F3B">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05</w:t>
            </w:r>
            <w:r w:rsidRPr="00DF5F3B">
              <w:rPr>
                <w:rFonts w:ascii="Times New Roman" w:hAnsi="Times New Roman" w:cs="Times New Roman"/>
                <w:b/>
                <w:bCs/>
                <w:sz w:val="24"/>
                <w:szCs w:val="24"/>
                <w:lang w:eastAsia="fr-BE"/>
              </w:rPr>
              <w:t>/</w:t>
            </w:r>
            <w:r>
              <w:rPr>
                <w:rFonts w:ascii="Times New Roman" w:hAnsi="Times New Roman" w:cs="Times New Roman"/>
                <w:b/>
                <w:bCs/>
                <w:sz w:val="24"/>
                <w:szCs w:val="24"/>
                <w:lang w:eastAsia="fr-BE"/>
              </w:rPr>
              <w:t>06</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14:paraId="654F334C" w14:textId="77777777" w:rsidR="00DF5F3B" w:rsidRPr="00DF5F3B" w:rsidRDefault="00DF5F3B" w:rsidP="00DF5F3B">
            <w:pPr>
              <w:spacing w:after="0" w:line="276" w:lineRule="auto"/>
              <w:jc w:val="both"/>
              <w:rPr>
                <w:rFonts w:ascii="Times New Roman" w:eastAsia="Calibri" w:hAnsi="Times New Roman" w:cs="Times New Roman"/>
                <w:u w:val="single"/>
                <w:lang w:eastAsia="fr-BE"/>
              </w:rPr>
            </w:pPr>
          </w:p>
          <w:p w14:paraId="2A6FCE44" w14:textId="77777777" w:rsidR="00DF5F3B" w:rsidRPr="00DF5F3B" w:rsidRDefault="00DF5F3B" w:rsidP="00DF5F3B">
            <w:pPr>
              <w:spacing w:after="0" w:line="240" w:lineRule="auto"/>
              <w:jc w:val="both"/>
              <w:rPr>
                <w:rFonts w:ascii="Times New Roman" w:hAnsi="Times New Roman" w:cs="Times New Roman"/>
                <w:b/>
                <w:iCs/>
                <w:lang w:eastAsia="fr-BE"/>
              </w:rPr>
            </w:pPr>
          </w:p>
          <w:p w14:paraId="1E48D083" w14:textId="77777777" w:rsidR="00DF5F3B" w:rsidRPr="00DF5F3B" w:rsidRDefault="00DF5F3B" w:rsidP="00DF5F3B">
            <w:pPr>
              <w:spacing w:after="0" w:line="240" w:lineRule="auto"/>
              <w:jc w:val="both"/>
              <w:rPr>
                <w:rFonts w:ascii="Times New Roman" w:hAnsi="Times New Roman" w:cs="Times New Roman"/>
                <w:b/>
                <w:iCs/>
                <w:lang w:eastAsia="fr-BE"/>
              </w:rPr>
            </w:pPr>
          </w:p>
        </w:tc>
        <w:tc>
          <w:tcPr>
            <w:tcW w:w="115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A73E1D7" w14:textId="77777777" w:rsidR="00DF5F3B" w:rsidRPr="00DF5F3B" w:rsidRDefault="007635A4" w:rsidP="00DF5F3B">
            <w:pPr>
              <w:shd w:val="clear" w:color="auto" w:fill="FFFFFF"/>
              <w:spacing w:after="0" w:line="240" w:lineRule="auto"/>
              <w:jc w:val="both"/>
              <w:outlineLvl w:val="3"/>
              <w:rPr>
                <w:rFonts w:ascii="Times New Roman" w:eastAsia="Times New Roman" w:hAnsi="Times New Roman" w:cs="Times New Roman"/>
                <w:bCs/>
                <w:szCs w:val="21"/>
                <w:lang w:eastAsia="fr-BE"/>
              </w:rPr>
            </w:pPr>
            <w:hyperlink r:id="rId11" w:history="1">
              <w:r w:rsidR="00DF5F3B" w:rsidRPr="000D0E99">
                <w:rPr>
                  <w:rFonts w:ascii="Times New Roman" w:eastAsia="Times New Roman" w:hAnsi="Times New Roman" w:cs="Times New Roman"/>
                  <w:bCs/>
                  <w:szCs w:val="21"/>
                  <w:bdr w:val="none" w:sz="0" w:space="0" w:color="auto" w:frame="1"/>
                  <w:lang w:eastAsia="fr-BE"/>
                </w:rPr>
                <w:t>Journée d’information sur le programme de travail Horizon 2020 pour 2016-2017 « Des transports intelligents, verts et intégrés »</w:t>
              </w:r>
            </w:hyperlink>
          </w:p>
          <w:p w14:paraId="7AABF468" w14:textId="77777777" w:rsidR="00DF5F3B" w:rsidRPr="00DF5F3B" w:rsidRDefault="00DF5F3B" w:rsidP="00DF5F3B">
            <w:pPr>
              <w:spacing w:after="0" w:line="240" w:lineRule="auto"/>
              <w:ind w:left="720"/>
              <w:jc w:val="both"/>
              <w:rPr>
                <w:rFonts w:ascii="Times New Roman" w:eastAsia="Calibri" w:hAnsi="Times New Roman" w:cs="Times New Roman"/>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31CC2AED" w14:textId="77777777" w:rsidR="00DF5F3B" w:rsidRPr="00DF5F3B" w:rsidRDefault="00DF5F3B" w:rsidP="00DF5F3B">
            <w:pPr>
              <w:spacing w:after="0" w:line="276" w:lineRule="auto"/>
              <w:jc w:val="both"/>
              <w:rPr>
                <w:rFonts w:ascii="Times New Roman" w:eastAsia="Calibri" w:hAnsi="Times New Roman" w:cs="Times New Roman"/>
                <w:szCs w:val="24"/>
              </w:rPr>
            </w:pPr>
          </w:p>
        </w:tc>
        <w:tc>
          <w:tcPr>
            <w:tcW w:w="783" w:type="pct"/>
            <w:tcBorders>
              <w:top w:val="nil"/>
              <w:left w:val="nil"/>
              <w:bottom w:val="single" w:sz="8" w:space="0" w:color="auto"/>
              <w:right w:val="single" w:sz="8" w:space="0" w:color="auto"/>
            </w:tcBorders>
          </w:tcPr>
          <w:p w14:paraId="0097845E" w14:textId="77777777" w:rsidR="00DF5F3B" w:rsidRPr="00DF5F3B" w:rsidRDefault="00DF5F3B" w:rsidP="00DF5F3B">
            <w:pPr>
              <w:spacing w:after="0" w:line="276" w:lineRule="auto"/>
              <w:jc w:val="center"/>
              <w:rPr>
                <w:rFonts w:ascii="Times New Roman" w:eastAsia="Calibri" w:hAnsi="Times New Roman" w:cs="Times New Roman"/>
                <w:b/>
                <w:sz w:val="24"/>
                <w:szCs w:val="24"/>
              </w:rPr>
            </w:pPr>
          </w:p>
        </w:tc>
      </w:tr>
      <w:tr w:rsidR="00DF5F3B" w:rsidRPr="00DF5F3B" w14:paraId="10B31B40" w14:textId="77777777" w:rsidTr="000C10AE">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3CCD188D" w14:textId="77777777" w:rsidR="00DF5F3B" w:rsidRPr="00DF5F3B" w:rsidRDefault="00DF5F3B" w:rsidP="00DF5F3B">
            <w:pPr>
              <w:spacing w:after="0" w:line="276" w:lineRule="auto"/>
              <w:jc w:val="center"/>
              <w:rPr>
                <w:rFonts w:ascii="Times New Roman" w:hAnsi="Times New Roman" w:cs="Times New Roman"/>
                <w:b/>
                <w:bCs/>
                <w:color w:val="000000"/>
                <w:sz w:val="24"/>
                <w:szCs w:val="24"/>
                <w:lang w:eastAsia="fr-BE"/>
              </w:rPr>
            </w:pPr>
            <w:r w:rsidRPr="00DF5F3B">
              <w:rPr>
                <w:rFonts w:ascii="Times New Roman" w:hAnsi="Times New Roman" w:cs="Times New Roman"/>
                <w:b/>
                <w:bCs/>
                <w:color w:val="000000"/>
                <w:sz w:val="24"/>
                <w:szCs w:val="24"/>
                <w:lang w:eastAsia="fr-BE"/>
              </w:rPr>
              <w:t>Vendredi</w:t>
            </w:r>
          </w:p>
          <w:p w14:paraId="23339C23" w14:textId="77777777" w:rsidR="00DF5F3B" w:rsidRPr="00DF5F3B" w:rsidRDefault="00DF5F3B" w:rsidP="000D0E99">
            <w:pPr>
              <w:spacing w:after="0" w:line="276" w:lineRule="auto"/>
              <w:jc w:val="center"/>
              <w:rPr>
                <w:rFonts w:ascii="Times New Roman" w:hAnsi="Times New Roman" w:cs="Times New Roman"/>
                <w:b/>
                <w:bCs/>
                <w:color w:val="000000"/>
                <w:sz w:val="24"/>
                <w:szCs w:val="24"/>
                <w:lang w:eastAsia="fr-BE"/>
              </w:rPr>
            </w:pPr>
            <w:r>
              <w:rPr>
                <w:rFonts w:ascii="Times New Roman" w:hAnsi="Times New Roman" w:cs="Times New Roman"/>
                <w:b/>
                <w:bCs/>
                <w:color w:val="000000"/>
                <w:sz w:val="24"/>
                <w:szCs w:val="24"/>
                <w:lang w:eastAsia="fr-BE"/>
              </w:rPr>
              <w:t>0</w:t>
            </w:r>
            <w:r w:rsidR="000D0E99">
              <w:rPr>
                <w:rFonts w:ascii="Times New Roman" w:hAnsi="Times New Roman" w:cs="Times New Roman"/>
                <w:b/>
                <w:bCs/>
                <w:color w:val="000000"/>
                <w:sz w:val="24"/>
                <w:szCs w:val="24"/>
                <w:lang w:eastAsia="fr-BE"/>
              </w:rPr>
              <w:t>6</w:t>
            </w:r>
            <w:r>
              <w:rPr>
                <w:rFonts w:ascii="Times New Roman" w:hAnsi="Times New Roman" w:cs="Times New Roman"/>
                <w:b/>
                <w:bCs/>
                <w:color w:val="000000"/>
                <w:sz w:val="24"/>
                <w:szCs w:val="24"/>
                <w:lang w:eastAsia="fr-BE"/>
              </w:rPr>
              <w:t>/11</w:t>
            </w:r>
          </w:p>
        </w:tc>
        <w:tc>
          <w:tcPr>
            <w:tcW w:w="1167" w:type="pct"/>
            <w:tcBorders>
              <w:top w:val="nil"/>
              <w:left w:val="nil"/>
              <w:bottom w:val="nil"/>
              <w:right w:val="single" w:sz="8" w:space="0" w:color="auto"/>
            </w:tcBorders>
            <w:noWrap/>
            <w:tcMar>
              <w:top w:w="0" w:type="dxa"/>
              <w:left w:w="70" w:type="dxa"/>
              <w:bottom w:w="0" w:type="dxa"/>
              <w:right w:w="70" w:type="dxa"/>
            </w:tcMar>
            <w:vAlign w:val="center"/>
          </w:tcPr>
          <w:p w14:paraId="0DF9A610" w14:textId="77777777" w:rsidR="00DF5F3B" w:rsidRPr="00DF5F3B" w:rsidRDefault="00DF5F3B" w:rsidP="00DF5F3B">
            <w:pPr>
              <w:spacing w:after="0" w:line="276" w:lineRule="auto"/>
              <w:jc w:val="both"/>
              <w:rPr>
                <w:rFonts w:ascii="Times New Roman" w:hAnsi="Times New Roman" w:cs="Times New Roman"/>
                <w:bCs/>
                <w:sz w:val="24"/>
                <w:szCs w:val="24"/>
                <w:lang w:eastAsia="fr-BE"/>
              </w:rPr>
            </w:pPr>
          </w:p>
          <w:p w14:paraId="3D6461E5" w14:textId="77777777" w:rsidR="00DF5F3B" w:rsidRPr="00DF5F3B" w:rsidRDefault="00DF5F3B" w:rsidP="00DF5F3B">
            <w:pPr>
              <w:spacing w:after="0" w:line="276" w:lineRule="auto"/>
              <w:jc w:val="both"/>
              <w:rPr>
                <w:rFonts w:ascii="Times New Roman" w:hAnsi="Times New Roman" w:cs="Times New Roman"/>
                <w:bCs/>
                <w:sz w:val="24"/>
                <w:szCs w:val="24"/>
                <w:lang w:eastAsia="fr-BE"/>
              </w:rPr>
            </w:pPr>
          </w:p>
        </w:tc>
        <w:tc>
          <w:tcPr>
            <w:tcW w:w="1157" w:type="pct"/>
            <w:tcBorders>
              <w:top w:val="nil"/>
              <w:left w:val="nil"/>
              <w:bottom w:val="nil"/>
              <w:right w:val="single" w:sz="8" w:space="0" w:color="auto"/>
            </w:tcBorders>
            <w:noWrap/>
            <w:tcMar>
              <w:top w:w="0" w:type="dxa"/>
              <w:left w:w="70" w:type="dxa"/>
              <w:bottom w:w="0" w:type="dxa"/>
              <w:right w:w="70" w:type="dxa"/>
            </w:tcMar>
            <w:vAlign w:val="center"/>
          </w:tcPr>
          <w:p w14:paraId="4F0C5CDE" w14:textId="77777777" w:rsidR="00DF5F3B" w:rsidRPr="00DF5F3B" w:rsidRDefault="007C51C6" w:rsidP="007C51C6">
            <w:pPr>
              <w:autoSpaceDE w:val="0"/>
              <w:autoSpaceDN w:val="0"/>
              <w:spacing w:after="0" w:line="276" w:lineRule="auto"/>
              <w:jc w:val="both"/>
              <w:rPr>
                <w:rFonts w:ascii="Times New Roman" w:hAnsi="Times New Roman" w:cs="Times New Roman"/>
                <w:sz w:val="24"/>
                <w:szCs w:val="24"/>
                <w:lang w:eastAsia="fr-BE"/>
              </w:rPr>
            </w:pPr>
            <w:r>
              <w:rPr>
                <w:rFonts w:ascii="Times New Roman" w:hAnsi="Times New Roman" w:cs="Times New Roman"/>
                <w:sz w:val="24"/>
                <w:szCs w:val="24"/>
                <w:lang w:eastAsia="fr-BE"/>
              </w:rPr>
              <w:t>Conférence sur « d</w:t>
            </w:r>
            <w:r w:rsidRPr="007C51C6">
              <w:rPr>
                <w:rFonts w:ascii="Times New Roman" w:hAnsi="Times New Roman" w:cs="Times New Roman"/>
                <w:sz w:val="24"/>
                <w:szCs w:val="24"/>
                <w:lang w:eastAsia="fr-BE"/>
              </w:rPr>
              <w:t>es politiques intelligentes pour des îles intelligentes</w:t>
            </w:r>
            <w:r>
              <w:rPr>
                <w:rFonts w:ascii="Times New Roman" w:hAnsi="Times New Roman" w:cs="Times New Roman"/>
                <w:sz w:val="24"/>
                <w:szCs w:val="24"/>
                <w:lang w:eastAsia="fr-BE"/>
              </w:rPr>
              <w:t> » à Krk en Croatie</w:t>
            </w:r>
          </w:p>
        </w:tc>
        <w:tc>
          <w:tcPr>
            <w:tcW w:w="1111" w:type="pct"/>
            <w:tcBorders>
              <w:top w:val="nil"/>
              <w:left w:val="nil"/>
              <w:bottom w:val="nil"/>
              <w:right w:val="single" w:sz="8" w:space="0" w:color="auto"/>
            </w:tcBorders>
            <w:noWrap/>
            <w:tcMar>
              <w:top w:w="0" w:type="dxa"/>
              <w:left w:w="70" w:type="dxa"/>
              <w:bottom w:w="0" w:type="dxa"/>
              <w:right w:w="70" w:type="dxa"/>
            </w:tcMar>
            <w:vAlign w:val="center"/>
          </w:tcPr>
          <w:p w14:paraId="28537FD9" w14:textId="77777777" w:rsidR="00DF5F3B" w:rsidRPr="00DF5F3B" w:rsidRDefault="00DF5F3B" w:rsidP="00DF5F3B">
            <w:pPr>
              <w:spacing w:after="0" w:line="276" w:lineRule="auto"/>
              <w:jc w:val="both"/>
              <w:rPr>
                <w:rFonts w:ascii="Times New Roman" w:hAnsi="Times New Roman" w:cs="Times New Roman"/>
                <w:b/>
                <w:iCs/>
                <w:szCs w:val="24"/>
                <w:lang w:eastAsia="fr-BE"/>
              </w:rPr>
            </w:pPr>
          </w:p>
          <w:p w14:paraId="265C8173" w14:textId="77777777" w:rsidR="00DF5F3B" w:rsidRPr="00DF5F3B" w:rsidRDefault="00DF5F3B" w:rsidP="00DF5F3B">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14:paraId="45DED58B" w14:textId="77777777" w:rsidR="00DF5F3B" w:rsidRPr="00DF5F3B" w:rsidRDefault="00DF5F3B" w:rsidP="00DF5F3B">
            <w:pPr>
              <w:spacing w:after="0" w:line="276" w:lineRule="auto"/>
              <w:jc w:val="center"/>
              <w:rPr>
                <w:rFonts w:ascii="Times New Roman" w:hAnsi="Times New Roman" w:cs="Times New Roman"/>
                <w:i/>
                <w:iCs/>
                <w:sz w:val="24"/>
                <w:szCs w:val="24"/>
                <w:lang w:eastAsia="fr-BE"/>
              </w:rPr>
            </w:pPr>
          </w:p>
        </w:tc>
      </w:tr>
      <w:tr w:rsidR="00DF5F3B" w:rsidRPr="00DF5F3B" w14:paraId="3B56C034" w14:textId="77777777" w:rsidTr="000C10AE">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229335A" w14:textId="77777777" w:rsidR="00DF5F3B" w:rsidRPr="00DF5F3B" w:rsidRDefault="00DF5F3B" w:rsidP="00DF5F3B">
            <w:pPr>
              <w:spacing w:after="0" w:line="276" w:lineRule="auto"/>
              <w:jc w:val="both"/>
              <w:rPr>
                <w:rFonts w:ascii="Times New Roman" w:hAnsi="Times New Roman" w:cs="Times New Roman"/>
                <w:b/>
                <w:bCs/>
                <w:color w:val="000000"/>
                <w:sz w:val="24"/>
                <w:szCs w:val="24"/>
                <w:lang w:eastAsia="fr-BE"/>
              </w:rPr>
            </w:pPr>
          </w:p>
        </w:tc>
        <w:tc>
          <w:tcPr>
            <w:tcW w:w="116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1A3DA03" w14:textId="77777777" w:rsidR="00DF5F3B" w:rsidRPr="00DF5F3B" w:rsidRDefault="00DF5F3B" w:rsidP="00DF5F3B">
            <w:pPr>
              <w:spacing w:after="0" w:line="276" w:lineRule="auto"/>
              <w:ind w:left="720"/>
              <w:jc w:val="both"/>
              <w:rPr>
                <w:rFonts w:ascii="Times New Roman" w:hAnsi="Times New Roman" w:cs="Times New Roman"/>
                <w:bCs/>
                <w:sz w:val="24"/>
                <w:szCs w:val="24"/>
                <w:lang w:eastAsia="fr-BE"/>
              </w:rPr>
            </w:pPr>
          </w:p>
        </w:tc>
        <w:tc>
          <w:tcPr>
            <w:tcW w:w="115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5EF8885" w14:textId="77777777" w:rsidR="00DF5F3B" w:rsidRPr="00DF5F3B" w:rsidRDefault="00DF5F3B" w:rsidP="00DF5F3B">
            <w:pPr>
              <w:autoSpaceDE w:val="0"/>
              <w:autoSpaceDN w:val="0"/>
              <w:spacing w:after="0" w:line="276" w:lineRule="auto"/>
              <w:jc w:val="center"/>
              <w:rPr>
                <w:rFonts w:ascii="Times New Roman" w:hAnsi="Times New Roman" w:cs="Times New Roman"/>
                <w:b/>
                <w:sz w:val="24"/>
                <w:szCs w:val="24"/>
                <w:lang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11553195" w14:textId="77777777" w:rsidR="00DF5F3B" w:rsidRPr="00DF5F3B" w:rsidRDefault="00DF5F3B" w:rsidP="00DF5F3B">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14:paraId="0C5BDDC0" w14:textId="77777777" w:rsidR="00DF5F3B" w:rsidRPr="00DF5F3B" w:rsidRDefault="00DF5F3B" w:rsidP="00DF5F3B">
            <w:pPr>
              <w:spacing w:after="0" w:line="276" w:lineRule="auto"/>
              <w:jc w:val="center"/>
              <w:rPr>
                <w:rFonts w:ascii="Times New Roman" w:hAnsi="Times New Roman" w:cs="Times New Roman"/>
                <w:i/>
                <w:iCs/>
                <w:sz w:val="24"/>
                <w:szCs w:val="24"/>
                <w:lang w:eastAsia="fr-BE"/>
              </w:rPr>
            </w:pPr>
          </w:p>
        </w:tc>
      </w:tr>
    </w:tbl>
    <w:p w14:paraId="0A18603D" w14:textId="77777777" w:rsidR="00DF5F3B" w:rsidRPr="00C9542C" w:rsidRDefault="00DF5F3B" w:rsidP="00DF5F3B">
      <w:pPr>
        <w:spacing w:after="0" w:line="240" w:lineRule="auto"/>
        <w:jc w:val="both"/>
        <w:rPr>
          <w:rFonts w:ascii="Times New Roman" w:eastAsia="Calibri" w:hAnsi="Times New Roman" w:cs="Times New Roman"/>
          <w:sz w:val="24"/>
          <w:szCs w:val="24"/>
        </w:rPr>
      </w:pPr>
      <w:r w:rsidRPr="00DF5F3B">
        <w:rPr>
          <w:rFonts w:ascii="Times New Roman" w:hAnsi="Times New Roman" w:cs="Times New Roman"/>
          <w:b/>
          <w:bCs/>
          <w:color w:val="4F81BD"/>
          <w:sz w:val="24"/>
          <w:szCs w:val="24"/>
          <w:lang w:eastAsia="fr-BE"/>
        </w:rPr>
        <w:tab/>
      </w:r>
    </w:p>
    <w:sectPr w:rsidR="00DF5F3B" w:rsidRPr="00C9542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F684F" w14:textId="77777777" w:rsidR="001F2160" w:rsidRDefault="001F2160" w:rsidP="001F2160">
      <w:pPr>
        <w:spacing w:after="0" w:line="240" w:lineRule="auto"/>
      </w:pPr>
      <w:r>
        <w:separator/>
      </w:r>
    </w:p>
  </w:endnote>
  <w:endnote w:type="continuationSeparator" w:id="0">
    <w:p w14:paraId="38D8B066" w14:textId="77777777" w:rsidR="001F2160" w:rsidRDefault="001F2160" w:rsidP="001F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Content>
      <w:p w14:paraId="10D9615E" w14:textId="03EED194" w:rsidR="001F2160" w:rsidRDefault="001F2160">
        <w:pPr>
          <w:pStyle w:val="Pieddepage"/>
          <w:jc w:val="right"/>
        </w:pPr>
        <w:r>
          <w:fldChar w:fldCharType="begin"/>
        </w:r>
        <w:r>
          <w:instrText>PAGE   \* MERGEFORMAT</w:instrText>
        </w:r>
        <w:r>
          <w:fldChar w:fldCharType="separate"/>
        </w:r>
        <w:r w:rsidR="00C1611E" w:rsidRPr="00C1611E">
          <w:rPr>
            <w:noProof/>
            <w:lang w:val="fr-FR"/>
          </w:rPr>
          <w:t>5</w:t>
        </w:r>
        <w:r>
          <w:fldChar w:fldCharType="end"/>
        </w:r>
      </w:p>
    </w:sdtContent>
  </w:sdt>
  <w:p w14:paraId="7A2043F4" w14:textId="64C24D98" w:rsidR="001F2160" w:rsidRPr="001F2160" w:rsidRDefault="001F2160" w:rsidP="001F2160">
    <w:pPr>
      <w:pStyle w:val="Pieddepage"/>
      <w:rPr>
        <w:b/>
        <w:color w:val="5B9BD5" w:themeColor="accent1"/>
        <w:sz w:val="16"/>
        <w:szCs w:val="16"/>
      </w:rPr>
    </w:pPr>
    <w:r w:rsidRPr="001F2160">
      <w:rPr>
        <w:b/>
        <w:color w:val="5B9BD5" w:themeColor="accent1"/>
        <w:sz w:val="16"/>
        <w:szCs w:val="16"/>
      </w:rPr>
      <w:t>INFORUP : Semaine du 26</w:t>
    </w:r>
    <w:r w:rsidRPr="001F2160">
      <w:rPr>
        <w:b/>
        <w:color w:val="5B9BD5" w:themeColor="accent1"/>
        <w:sz w:val="16"/>
        <w:szCs w:val="16"/>
      </w:rPr>
      <w:t xml:space="preserve"> au 30 octobre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EEE88" w14:textId="77777777" w:rsidR="001F2160" w:rsidRDefault="001F2160" w:rsidP="001F2160">
      <w:pPr>
        <w:spacing w:after="0" w:line="240" w:lineRule="auto"/>
      </w:pPr>
      <w:r>
        <w:separator/>
      </w:r>
    </w:p>
  </w:footnote>
  <w:footnote w:type="continuationSeparator" w:id="0">
    <w:p w14:paraId="3A8ABFA8" w14:textId="77777777" w:rsidR="001F2160" w:rsidRDefault="001F2160" w:rsidP="001F2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8494E"/>
    <w:multiLevelType w:val="hybridMultilevel"/>
    <w:tmpl w:val="8C68F2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2C"/>
    <w:rsid w:val="000A3B64"/>
    <w:rsid w:val="000B01FD"/>
    <w:rsid w:val="000D0E99"/>
    <w:rsid w:val="001C4E53"/>
    <w:rsid w:val="001E5506"/>
    <w:rsid w:val="001F2160"/>
    <w:rsid w:val="002A3307"/>
    <w:rsid w:val="002A5FBB"/>
    <w:rsid w:val="003A7981"/>
    <w:rsid w:val="005F6BB0"/>
    <w:rsid w:val="00632477"/>
    <w:rsid w:val="006F2E16"/>
    <w:rsid w:val="007622AA"/>
    <w:rsid w:val="00762339"/>
    <w:rsid w:val="007C51C6"/>
    <w:rsid w:val="00897A04"/>
    <w:rsid w:val="008E7DC6"/>
    <w:rsid w:val="00916C2C"/>
    <w:rsid w:val="0099407C"/>
    <w:rsid w:val="009A528A"/>
    <w:rsid w:val="009A5B2E"/>
    <w:rsid w:val="009D147C"/>
    <w:rsid w:val="00A85D7F"/>
    <w:rsid w:val="00C1611E"/>
    <w:rsid w:val="00C9542C"/>
    <w:rsid w:val="00DE12F3"/>
    <w:rsid w:val="00DF5F3B"/>
    <w:rsid w:val="00E33E1F"/>
    <w:rsid w:val="00E767F6"/>
    <w:rsid w:val="00EC52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A39D"/>
  <w15:chartTrackingRefBased/>
  <w15:docId w15:val="{5668F94A-9A39-42E2-A1F9-867917B0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9542C"/>
    <w:pPr>
      <w:spacing w:before="100" w:beforeAutospacing="1" w:after="100" w:afterAutospacing="1" w:line="240" w:lineRule="auto"/>
      <w:outlineLvl w:val="0"/>
    </w:pPr>
    <w:rPr>
      <w:rFonts w:ascii="Times New Roman" w:hAnsi="Times New Roman" w:cs="Times New Roman"/>
      <w:b/>
      <w:bCs/>
      <w:kern w:val="36"/>
      <w:sz w:val="48"/>
      <w:szCs w:val="48"/>
      <w:lang w:eastAsia="fr-BE"/>
    </w:rPr>
  </w:style>
  <w:style w:type="paragraph" w:styleId="Titre4">
    <w:name w:val="heading 4"/>
    <w:basedOn w:val="Normal"/>
    <w:next w:val="Normal"/>
    <w:link w:val="Titre4Car"/>
    <w:uiPriority w:val="9"/>
    <w:semiHidden/>
    <w:unhideWhenUsed/>
    <w:qFormat/>
    <w:rsid w:val="00DF5F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42C"/>
    <w:rPr>
      <w:rFonts w:ascii="Times New Roman" w:hAnsi="Times New Roman" w:cs="Times New Roman"/>
      <w:b/>
      <w:bCs/>
      <w:kern w:val="36"/>
      <w:sz w:val="48"/>
      <w:szCs w:val="48"/>
      <w:lang w:eastAsia="fr-BE"/>
    </w:rPr>
  </w:style>
  <w:style w:type="character" w:styleId="Lienhypertexte">
    <w:name w:val="Hyperlink"/>
    <w:basedOn w:val="Policepardfaut"/>
    <w:uiPriority w:val="99"/>
    <w:unhideWhenUsed/>
    <w:rsid w:val="002A3307"/>
    <w:rPr>
      <w:color w:val="0563C1" w:themeColor="hyperlink"/>
      <w:u w:val="single"/>
    </w:rPr>
  </w:style>
  <w:style w:type="character" w:customStyle="1" w:styleId="Titre4Car">
    <w:name w:val="Titre 4 Car"/>
    <w:basedOn w:val="Policepardfaut"/>
    <w:link w:val="Titre4"/>
    <w:uiPriority w:val="9"/>
    <w:semiHidden/>
    <w:rsid w:val="00DF5F3B"/>
    <w:rPr>
      <w:rFonts w:asciiTheme="majorHAnsi" w:eastAsiaTheme="majorEastAsia" w:hAnsiTheme="majorHAnsi" w:cstheme="majorBidi"/>
      <w:i/>
      <w:iCs/>
      <w:color w:val="2E74B5" w:themeColor="accent1" w:themeShade="BF"/>
    </w:rPr>
  </w:style>
  <w:style w:type="paragraph" w:styleId="Commentaire">
    <w:name w:val="annotation text"/>
    <w:basedOn w:val="Normal"/>
    <w:link w:val="CommentaireCar"/>
    <w:uiPriority w:val="99"/>
    <w:semiHidden/>
    <w:unhideWhenUsed/>
    <w:rsid w:val="00916C2C"/>
    <w:pPr>
      <w:spacing w:line="240" w:lineRule="auto"/>
    </w:pPr>
    <w:rPr>
      <w:sz w:val="20"/>
      <w:szCs w:val="20"/>
    </w:rPr>
  </w:style>
  <w:style w:type="character" w:customStyle="1" w:styleId="CommentaireCar">
    <w:name w:val="Commentaire Car"/>
    <w:basedOn w:val="Policepardfaut"/>
    <w:link w:val="Commentaire"/>
    <w:uiPriority w:val="99"/>
    <w:semiHidden/>
    <w:rsid w:val="00916C2C"/>
    <w:rPr>
      <w:sz w:val="20"/>
      <w:szCs w:val="20"/>
    </w:rPr>
  </w:style>
  <w:style w:type="character" w:styleId="Marquedecommentaire">
    <w:name w:val="annotation reference"/>
    <w:basedOn w:val="Policepardfaut"/>
    <w:uiPriority w:val="99"/>
    <w:semiHidden/>
    <w:unhideWhenUsed/>
    <w:rsid w:val="00916C2C"/>
    <w:rPr>
      <w:sz w:val="18"/>
      <w:szCs w:val="18"/>
    </w:rPr>
  </w:style>
  <w:style w:type="paragraph" w:styleId="Textedebulles">
    <w:name w:val="Balloon Text"/>
    <w:basedOn w:val="Normal"/>
    <w:link w:val="TextedebullesCar"/>
    <w:uiPriority w:val="99"/>
    <w:semiHidden/>
    <w:unhideWhenUsed/>
    <w:rsid w:val="00916C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6C2C"/>
    <w:rPr>
      <w:rFonts w:ascii="Segoe UI" w:hAnsi="Segoe UI" w:cs="Segoe UI"/>
      <w:sz w:val="18"/>
      <w:szCs w:val="18"/>
    </w:rPr>
  </w:style>
  <w:style w:type="paragraph" w:styleId="En-tte">
    <w:name w:val="header"/>
    <w:basedOn w:val="Normal"/>
    <w:link w:val="En-tteCar"/>
    <w:uiPriority w:val="99"/>
    <w:unhideWhenUsed/>
    <w:rsid w:val="001F2160"/>
    <w:pPr>
      <w:tabs>
        <w:tab w:val="center" w:pos="4536"/>
        <w:tab w:val="right" w:pos="9072"/>
      </w:tabs>
      <w:spacing w:after="0" w:line="240" w:lineRule="auto"/>
    </w:pPr>
  </w:style>
  <w:style w:type="character" w:customStyle="1" w:styleId="En-tteCar">
    <w:name w:val="En-tête Car"/>
    <w:basedOn w:val="Policepardfaut"/>
    <w:link w:val="En-tte"/>
    <w:uiPriority w:val="99"/>
    <w:rsid w:val="001F2160"/>
  </w:style>
  <w:style w:type="paragraph" w:styleId="Pieddepage">
    <w:name w:val="footer"/>
    <w:basedOn w:val="Normal"/>
    <w:link w:val="PieddepageCar"/>
    <w:uiPriority w:val="99"/>
    <w:unhideWhenUsed/>
    <w:rsid w:val="001F21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1806">
      <w:bodyDiv w:val="1"/>
      <w:marLeft w:val="0"/>
      <w:marRight w:val="0"/>
      <w:marTop w:val="0"/>
      <w:marBottom w:val="0"/>
      <w:divBdr>
        <w:top w:val="none" w:sz="0" w:space="0" w:color="auto"/>
        <w:left w:val="none" w:sz="0" w:space="0" w:color="auto"/>
        <w:bottom w:val="none" w:sz="0" w:space="0" w:color="auto"/>
        <w:right w:val="none" w:sz="0" w:space="0" w:color="auto"/>
      </w:divBdr>
    </w:div>
    <w:div w:id="783811931">
      <w:bodyDiv w:val="1"/>
      <w:marLeft w:val="0"/>
      <w:marRight w:val="0"/>
      <w:marTop w:val="0"/>
      <w:marBottom w:val="0"/>
      <w:divBdr>
        <w:top w:val="none" w:sz="0" w:space="0" w:color="auto"/>
        <w:left w:val="none" w:sz="0" w:space="0" w:color="auto"/>
        <w:bottom w:val="none" w:sz="0" w:space="0" w:color="auto"/>
        <w:right w:val="none" w:sz="0" w:space="0" w:color="auto"/>
      </w:divBdr>
    </w:div>
    <w:div w:id="10098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iorities/jobs-growth-investment/plan/index_fr.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if.org/what_we_do/equity/index.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eu/newsroom/calendar/events/2015/11/05_smart_green_integrated_transport_fr.htm" TargetMode="External"/><Relationship Id="rId5" Type="http://schemas.openxmlformats.org/officeDocument/2006/relationships/footnotes" Target="footnotes.xml"/><Relationship Id="rId10" Type="http://schemas.openxmlformats.org/officeDocument/2006/relationships/hyperlink" Target="http://ec.europa.eu/europeaid/public-consultation-eu-acp-new-partnership_en" TargetMode="External"/><Relationship Id="rId4" Type="http://schemas.openxmlformats.org/officeDocument/2006/relationships/webSettings" Target="webSettings.xml"/><Relationship Id="rId9" Type="http://schemas.openxmlformats.org/officeDocument/2006/relationships/hyperlink" Target="http://www.europarl.europa.eu/RegData/etudes/STUD/2015/567667/IPOL_STU(2015)567667_FR.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Pages>
  <Words>1975</Words>
  <Characters>10867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Deruaz</dc:creator>
  <cp:keywords/>
  <dc:description/>
  <cp:lastModifiedBy>Cecile Devins</cp:lastModifiedBy>
  <cp:revision>21</cp:revision>
  <dcterms:created xsi:type="dcterms:W3CDTF">2015-10-28T10:37:00Z</dcterms:created>
  <dcterms:modified xsi:type="dcterms:W3CDTF">2015-10-30T16:44:00Z</dcterms:modified>
</cp:coreProperties>
</file>